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6E7FC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25BC0E16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73562EA6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7FEC1FA9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rFonts w:eastAsiaTheme="minorEastAsia" w:cstheme="minorBidi"/>
          <w:sz w:val="22"/>
        </w:rPr>
        <w:t>А</w:t>
      </w:r>
      <w:r>
        <w:rPr>
          <w:rFonts w:hint="default" w:eastAsiaTheme="minorEastAsia" w:cstheme="minorBidi"/>
          <w:sz w:val="22"/>
          <w:lang w:val="ru-RU"/>
        </w:rPr>
        <w:t>33</w:t>
      </w:r>
      <w:r>
        <w:rPr>
          <w:rFonts w:eastAsiaTheme="minorEastAsia" w:cstheme="minorBidi"/>
          <w:sz w:val="22"/>
        </w:rPr>
        <w:t>-</w:t>
      </w:r>
      <w:r>
        <w:rPr>
          <w:rFonts w:hint="default" w:eastAsiaTheme="minorEastAsia" w:cstheme="minorBidi"/>
          <w:sz w:val="22"/>
          <w:lang w:val="ru-RU"/>
        </w:rPr>
        <w:t>20027</w:t>
      </w:r>
      <w:r>
        <w:rPr>
          <w:rFonts w:eastAsiaTheme="minorEastAsia" w:cstheme="minorBidi"/>
          <w:sz w:val="22"/>
        </w:rPr>
        <w:t>/202</w:t>
      </w:r>
      <w:r>
        <w:rPr>
          <w:rFonts w:hint="default" w:eastAsiaTheme="minorEastAsia" w:cstheme="minorBidi"/>
          <w:sz w:val="22"/>
          <w:lang w:val="ru-RU"/>
        </w:rPr>
        <w:t>4</w:t>
      </w:r>
    </w:p>
    <w:p w14:paraId="413134F1">
      <w:pPr>
        <w:jc w:val="right"/>
        <w:rPr>
          <w:rStyle w:val="4"/>
          <w:rFonts w:cs="Times New Roman"/>
          <w:i w:val="0"/>
          <w:sz w:val="22"/>
        </w:rPr>
      </w:pPr>
    </w:p>
    <w:p w14:paraId="78D80E95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8BBA8A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67037032">
      <w:pPr>
        <w:pStyle w:val="8"/>
        <w:ind w:left="0"/>
        <w:jc w:val="center"/>
        <w:rPr>
          <w:rFonts w:hint="default" w:cs="Times New Roman"/>
          <w:b/>
          <w:sz w:val="22"/>
          <w:lang w:val="ru-RU"/>
        </w:rPr>
      </w:pPr>
      <w:r>
        <w:rPr>
          <w:rFonts w:cs="Times New Roman"/>
          <w:b/>
          <w:sz w:val="22"/>
          <w:lang w:val="ru-RU"/>
        </w:rPr>
        <w:t>Юферевой</w:t>
      </w:r>
      <w:r>
        <w:rPr>
          <w:rFonts w:hint="default" w:cs="Times New Roman"/>
          <w:b/>
          <w:sz w:val="22"/>
          <w:lang w:val="ru-RU"/>
        </w:rPr>
        <w:t xml:space="preserve"> Натальи Ивановны</w:t>
      </w:r>
    </w:p>
    <w:p w14:paraId="1C3E7E26">
      <w:pPr>
        <w:pStyle w:val="8"/>
        <w:ind w:left="0"/>
        <w:jc w:val="center"/>
        <w:rPr>
          <w:rFonts w:hint="default" w:cs="Times New Roman"/>
          <w:b/>
          <w:sz w:val="22"/>
          <w:lang w:val="ru-RU"/>
        </w:rPr>
      </w:pPr>
    </w:p>
    <w:p w14:paraId="12A2DB1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494D837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cs="Times New Roman"/>
          <w:sz w:val="22"/>
          <w:lang w:val="ru-RU"/>
        </w:rPr>
        <w:t>Юферева</w:t>
      </w:r>
      <w:r>
        <w:rPr>
          <w:rFonts w:hint="default" w:cs="Times New Roman"/>
          <w:sz w:val="22"/>
          <w:lang w:val="ru-RU"/>
        </w:rPr>
        <w:t xml:space="preserve"> Наталья Ивановна</w:t>
      </w:r>
      <w:r>
        <w:rPr>
          <w:rFonts w:cs="Times New Roman"/>
          <w:sz w:val="22"/>
        </w:rPr>
        <w:t xml:space="preserve"> (</w:t>
      </w:r>
      <w:bookmarkStart w:id="0" w:name="_GoBack"/>
      <w:r>
        <w:rPr>
          <w:sz w:val="22"/>
          <w:szCs w:val="21"/>
        </w:rPr>
        <w:t>01.01.1960 г.р., ИНН 240300850338, СНИЛС 071-332-804-31, адрес регистрации Россия 662342, пос.Чистое поле, Красноярский край, ул. Грязнова 4-2</w:t>
      </w:r>
      <w:bookmarkEnd w:id="0"/>
      <w:r>
        <w:rPr>
          <w:rFonts w:cs="Times New Roman"/>
          <w:sz w:val="22"/>
        </w:rPr>
        <w:t>) признан</w:t>
      </w:r>
      <w:r>
        <w:rPr>
          <w:rFonts w:cs="Times New Roman"/>
          <w:sz w:val="22"/>
          <w:lang w:val="ru-RU"/>
        </w:rPr>
        <w:t>а</w:t>
      </w:r>
      <w:r>
        <w:rPr>
          <w:rFonts w:cs="Times New Roman"/>
          <w:sz w:val="22"/>
        </w:rPr>
        <w:t xml:space="preserve"> несостоятельн</w:t>
      </w:r>
      <w:r>
        <w:rPr>
          <w:rFonts w:cs="Times New Roman"/>
          <w:sz w:val="22"/>
          <w:lang w:val="ru-RU"/>
        </w:rPr>
        <w:t>ой</w:t>
      </w:r>
      <w:r>
        <w:rPr>
          <w:rFonts w:cs="Times New Roman"/>
          <w:sz w:val="22"/>
        </w:rPr>
        <w:t xml:space="preserve"> 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rFonts w:cs="Times New Roman"/>
          <w:sz w:val="22"/>
          <w:lang w:val="ru-RU"/>
        </w:rPr>
        <w:t>Красноярского</w:t>
      </w:r>
      <w:r>
        <w:rPr>
          <w:rFonts w:hint="default" w:cs="Times New Roman"/>
          <w:sz w:val="22"/>
          <w:lang w:val="ru-RU"/>
        </w:rPr>
        <w:t xml:space="preserve"> края</w:t>
      </w:r>
      <w:r>
        <w:rPr>
          <w:rFonts w:cs="Times New Roman"/>
          <w:sz w:val="22"/>
        </w:rPr>
        <w:t xml:space="preserve"> от </w:t>
      </w:r>
      <w:r>
        <w:rPr>
          <w:rFonts w:hint="default" w:cs="Times New Roman"/>
          <w:sz w:val="22"/>
          <w:lang w:val="ru-RU"/>
        </w:rPr>
        <w:t>03</w:t>
      </w:r>
      <w:r>
        <w:rPr>
          <w:rFonts w:cs="Times New Roman"/>
          <w:sz w:val="22"/>
        </w:rPr>
        <w:t>.</w:t>
      </w:r>
      <w:r>
        <w:rPr>
          <w:rFonts w:hint="default" w:cs="Times New Roman"/>
          <w:sz w:val="22"/>
          <w:lang w:val="ru-RU"/>
        </w:rPr>
        <w:t>12</w:t>
      </w:r>
      <w:r>
        <w:rPr>
          <w:rFonts w:cs="Times New Roman"/>
          <w:sz w:val="22"/>
        </w:rPr>
        <w:t>.202</w:t>
      </w:r>
      <w:r>
        <w:rPr>
          <w:rFonts w:hint="default" w:cs="Times New Roman"/>
          <w:sz w:val="22"/>
          <w:lang w:val="ru-RU"/>
        </w:rPr>
        <w:t>4</w:t>
      </w:r>
      <w:r>
        <w:rPr>
          <w:rFonts w:cs="Times New Roman"/>
          <w:sz w:val="22"/>
        </w:rPr>
        <w:t xml:space="preserve"> по делу № </w:t>
      </w:r>
      <w:r>
        <w:rPr>
          <w:rFonts w:eastAsiaTheme="minorEastAsia" w:cstheme="minorBidi"/>
          <w:sz w:val="22"/>
        </w:rPr>
        <w:t>А</w:t>
      </w:r>
      <w:r>
        <w:rPr>
          <w:rFonts w:hint="default" w:eastAsiaTheme="minorEastAsia" w:cstheme="minorBidi"/>
          <w:sz w:val="22"/>
          <w:lang w:val="ru-RU"/>
        </w:rPr>
        <w:t>33</w:t>
      </w:r>
      <w:r>
        <w:rPr>
          <w:rFonts w:eastAsiaTheme="minorEastAsia" w:cstheme="minorBidi"/>
          <w:sz w:val="22"/>
        </w:rPr>
        <w:t>-</w:t>
      </w:r>
      <w:r>
        <w:rPr>
          <w:rFonts w:hint="default" w:eastAsiaTheme="minorEastAsia" w:cstheme="minorBidi"/>
          <w:sz w:val="22"/>
          <w:lang w:val="ru-RU"/>
        </w:rPr>
        <w:t>20027</w:t>
      </w:r>
      <w:r>
        <w:rPr>
          <w:rFonts w:eastAsiaTheme="minorEastAsia" w:cstheme="minorBidi"/>
          <w:sz w:val="22"/>
        </w:rPr>
        <w:t>/202</w:t>
      </w:r>
      <w:r>
        <w:rPr>
          <w:rFonts w:hint="default" w:eastAsiaTheme="minorEastAsia" w:cstheme="minorBidi"/>
          <w:sz w:val="22"/>
          <w:lang w:val="ru-RU"/>
        </w:rPr>
        <w:t>4</w:t>
      </w:r>
      <w:r>
        <w:rPr>
          <w:rFonts w:cs="Times New Roman"/>
          <w:sz w:val="22"/>
        </w:rPr>
        <w:t xml:space="preserve"> и в отношении не</w:t>
      </w:r>
      <w:r>
        <w:rPr>
          <w:rFonts w:cs="Times New Roman"/>
          <w:sz w:val="22"/>
          <w:lang w:val="ru-RU"/>
        </w:rPr>
        <w:t>е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70ABBFD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rFonts w:eastAsia="Arial Unicode MS" w:cs="Times New Roman"/>
          <w:iCs/>
          <w:kern w:val="2"/>
          <w:sz w:val="22"/>
        </w:rPr>
        <w:t>Кубрак Екатерина Александровна</w:t>
      </w:r>
      <w:r>
        <w:rPr>
          <w:rFonts w:cs="Times New Roman"/>
          <w:sz w:val="22"/>
        </w:rPr>
        <w:t xml:space="preserve"> (ИНН 246417014946, СНИЛС 159-752-736 18, рег.№ </w:t>
      </w: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>22308), член Союз СРО "ГАУ" - Союз "Саморегулируемая организация "Гильдия арбитражных управляющих" (420034, Респ Татарстан, г Казань, ул. Соловецких Юнг, д. 7, оф. 1004, ИНН 1660062005, ОГРН 1021603626098).</w:t>
      </w:r>
    </w:p>
    <w:p w14:paraId="0010903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5D144DF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12BD6F5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7141D1B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36FCF6B1">
      <w:pPr>
        <w:pStyle w:val="10"/>
        <w:spacing w:before="0" w:after="0"/>
        <w:ind w:firstLine="709"/>
        <w:rPr>
          <w:rFonts w:hint="default"/>
          <w:sz w:val="22"/>
          <w:lang w:val="ru-RU"/>
        </w:rPr>
      </w:pPr>
      <w:r>
        <w:rPr>
          <w:rFonts w:cs="Times New Roman"/>
          <w:sz w:val="22"/>
        </w:rPr>
        <w:t xml:space="preserve">Лот № 1 - </w:t>
      </w:r>
      <w:r>
        <w:rPr>
          <w:rFonts w:hint="default"/>
          <w:sz w:val="22"/>
          <w:lang w:val="ru-RU"/>
        </w:rPr>
        <w:t xml:space="preserve">2/33 доли в праве общей долевой собственности на земельный участок, находящийся по адресу: Красноярский край, Балахтинский р-н, урочище «За Конным». Площадь: 3 315 814 +/- 15 933 кв.м. Категория земель: земли сельскохозяйственного назначения. Виды разрешенного использования: ведение сельскохозяйственного производства. Кадастровый номер: 24:03:0700002. Обременение в виде арены. </w:t>
      </w:r>
    </w:p>
    <w:p w14:paraId="5EF5D615">
      <w:pPr>
        <w:pStyle w:val="8"/>
        <w:tabs>
          <w:tab w:val="left" w:pos="6480"/>
        </w:tabs>
        <w:ind w:left="0"/>
        <w:jc w:val="both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B8CE18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1BEA79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  <w:r>
        <w:rPr>
          <w:rFonts w:cs="Times New Roman"/>
          <w:sz w:val="22"/>
          <w:shd w:val="clear" w:color="auto" w:fill="FFFFFF"/>
        </w:rPr>
        <w:t xml:space="preserve">Участником закрытых торгов могут быть другие участники долевой собственности, а также сельскохозяйственные организации или граждане - члены крестьянского (фермерского) хозяйства, использующие земельный участок, находящийся в долевой собственности. Документом, подтверждающим возможность продажи земельной доли, является документ, удостоверяющий право покупателя на земельную долю в составе того же земельного участка, что и приобретаемая земельная доля, или документ, подтверждающий право покупателя земельной доли на использование земельного участка, в составе которого имеется приобретаемая земельная доля. </w:t>
      </w:r>
    </w:p>
    <w:p w14:paraId="62ADAA3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0F563D6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46B78D2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22B90EB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34DE2055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/>
          <w:sz w:val="22"/>
          <w:lang w:val="ru-RU"/>
        </w:rPr>
        <w:t xml:space="preserve">1 016 849 </w:t>
      </w:r>
      <w:r>
        <w:rPr>
          <w:rFonts w:cs="Times New Roman"/>
          <w:sz w:val="22"/>
        </w:rPr>
        <w:t>(</w:t>
      </w:r>
      <w:r>
        <w:rPr>
          <w:rFonts w:cs="Times New Roman"/>
          <w:sz w:val="22"/>
          <w:lang w:val="ru-RU"/>
        </w:rPr>
        <w:t>один</w:t>
      </w:r>
      <w:r>
        <w:rPr>
          <w:rFonts w:hint="default" w:cs="Times New Roman"/>
          <w:sz w:val="22"/>
          <w:lang w:val="ru-RU"/>
        </w:rPr>
        <w:t xml:space="preserve"> миллион шестнадцать тысяч восемьсот сорок девять</w:t>
      </w:r>
      <w:r>
        <w:rPr>
          <w:rFonts w:cs="Times New Roman"/>
          <w:sz w:val="22"/>
        </w:rPr>
        <w:t>) руб</w:t>
      </w:r>
      <w:r>
        <w:rPr>
          <w:rFonts w:cs="Times New Roman"/>
          <w:sz w:val="22"/>
          <w:lang w:val="ru-RU"/>
        </w:rPr>
        <w:t>лей</w:t>
      </w:r>
      <w:r>
        <w:rPr>
          <w:rFonts w:hint="default" w:cs="Times New Roman"/>
          <w:sz w:val="22"/>
          <w:lang w:val="ru-RU"/>
        </w:rPr>
        <w:t xml:space="preserve"> 62</w:t>
      </w:r>
      <w:r>
        <w:rPr>
          <w:rFonts w:cs="Times New Roman"/>
          <w:sz w:val="22"/>
        </w:rPr>
        <w:t xml:space="preserve"> ко</w:t>
      </w:r>
      <w:r>
        <w:rPr>
          <w:rFonts w:cs="Times New Roman"/>
          <w:sz w:val="22"/>
          <w:lang w:val="ru-RU"/>
        </w:rPr>
        <w:t>пейки</w:t>
      </w:r>
    </w:p>
    <w:p w14:paraId="4ED1693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6F55C120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11E857E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1. Настоящее положение о порядке, сроках и условиях продажи разработано в соответствии с требованиями Федерального закона от 26.10.2002 № 127-ФЗ «О несостоятельности (банкротстве)» (далее – «Положение»), а также в целях максимально полного удовлетворения требований кредиторов Должника. </w:t>
      </w:r>
    </w:p>
    <w:p w14:paraId="20DAF97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 Продажа имущества Должника и публикация информационного сообщения производится финансовым управляющим, в соответствии Постановлением Конституционного Суда РФ от 16.05.2023 N 23-П, со статьями 139, 110, 111, 112, 140, ст. 129, 250, 255, 447, 448, 449 Гражданского кодекса Российской Федерации, с учѐтом положений п. 3 ст. 213.6, п. 1 ст. 213.7 и Главы X Федерального закона от 26.10.2002 г. № 127-ФЗ «О несостоятельности (банкротстве)», ст. 1, 12, 13, 14 Федерального закона от 24.07.2002 №101-ФЗ «Об обороте земель сельскохозяйственного назначения». Имущество выставляется на торги после утверждения настоящего положения определением арбитражного суда.</w:t>
      </w:r>
    </w:p>
    <w:p w14:paraId="701CCC5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3. Информационное сообщение о проведении аукциона публикуется организатором торгов на сайте www.fedresurs.ru в сети «Интернет», в соответствии со ст. 28, ст.213.7 Закона о банкротстве, не позднее, чем за тридцать дней до даты проведения торгов. Организатор торгов вправе, с учетом принципа разумности, опубликовать дополнительные информационные сообщения о проведении торгов в органе печати, в том числе по месту нахождения Должника и (или) нахождению имущества, до даты окончания приема заявок. Дополнительные информационные сообщения должны содержать наименование лотов, сроки подачи заявок, дату торгов и ссылку на сайт ЕФРСБ (для органов печати), где размещены торги.</w:t>
      </w:r>
    </w:p>
    <w:p w14:paraId="4E85AB5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4. Во исполнение п.4 ст. 110 ФЗ «О несостоятельности (банкротстве)», а также в целях обеспечения максимального удовлетворения требований кредиторов, в том числе для обеспечения защиты интересов Российской Федерации, как кредитора в рамках дела о банкротстве (как в части задолженности, включенной в реестр кредиторов, так и в части уплаты текущих платежей), проведения прозрачной процедуры реализации, продажа имущества должника производится путем проведения закрытых по составу участников торгов в форме аукциона с открытой формой подачи предложений о цене.</w:t>
      </w:r>
    </w:p>
    <w:p w14:paraId="635F06E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1.2. Продажа Имущества осуществляется следующими этапами: </w:t>
      </w:r>
    </w:p>
    <w:p w14:paraId="4A3252C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20F4860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441B6A2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1001A14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 </w:t>
      </w:r>
    </w:p>
    <w:p w14:paraId="3EDB542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5. Для привлечения максимально широкого круга потенциальных покупателей к участию в торгах, созданию естественной конкуренции и ситуации, при которой реализация имущества происходит по максимально возможным итоговым ценам, начальная цена утверждается арбитражным судом. </w:t>
      </w:r>
    </w:p>
    <w:p w14:paraId="4ED9CB70">
      <w:pPr>
        <w:pStyle w:val="8"/>
        <w:ind w:left="0"/>
        <w:rPr>
          <w:rFonts w:cs="Times New Roman"/>
          <w:sz w:val="22"/>
        </w:rPr>
      </w:pPr>
    </w:p>
    <w:p w14:paraId="04F47EC7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определения цены имущества</w:t>
      </w:r>
    </w:p>
    <w:p w14:paraId="692A825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Начальная цена следующего Имущества Должника, подлежащего реализации в соответствии с условиями настоящего Положения, подлежит утверждению арбитражным судом и приведена ниже: </w:t>
      </w:r>
    </w:p>
    <w:p w14:paraId="07FD1B22">
      <w:pPr>
        <w:pStyle w:val="10"/>
        <w:spacing w:before="0" w:after="0"/>
        <w:ind w:firstLine="709"/>
        <w:rPr>
          <w:rFonts w:hint="default"/>
          <w:sz w:val="22"/>
          <w:lang w:val="ru-RU"/>
        </w:rPr>
      </w:pPr>
      <w:r>
        <w:rPr>
          <w:rFonts w:cs="Times New Roman"/>
          <w:sz w:val="22"/>
        </w:rPr>
        <w:t xml:space="preserve">Лот № 1 </w:t>
      </w:r>
      <w:r>
        <w:rPr>
          <w:rFonts w:hint="default" w:cs="Times New Roman"/>
          <w:sz w:val="22"/>
          <w:lang w:val="ru-RU"/>
        </w:rPr>
        <w:t xml:space="preserve">- </w:t>
      </w:r>
      <w:r>
        <w:rPr>
          <w:rFonts w:hint="default"/>
          <w:sz w:val="22"/>
          <w:lang w:val="ru-RU"/>
        </w:rPr>
        <w:t xml:space="preserve">2/33 доли в праве общей долевой собственности на земельный участок, находящийся по адресу: Красноярский край, Балахтинский р-н, урочище «За Конным». Площадь: 3 315 814 +/- 15 933 кв.м. Категория земель: земли сельскохозяйственного назначения. Виды разрешенного использования: ведение сельскохозяйственного производства. Кадастровый номер: 24:03:0700002. Обременение в виде арены. </w:t>
      </w:r>
    </w:p>
    <w:p w14:paraId="7D347B9D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b/>
          <w:sz w:val="22"/>
        </w:rPr>
        <w:t xml:space="preserve">Начальная цена продажи: </w:t>
      </w:r>
      <w:r>
        <w:rPr>
          <w:rFonts w:hint="default"/>
          <w:sz w:val="22"/>
          <w:lang w:val="ru-RU"/>
        </w:rPr>
        <w:t xml:space="preserve">1 016 849 </w:t>
      </w:r>
      <w:r>
        <w:rPr>
          <w:rFonts w:cs="Times New Roman"/>
          <w:sz w:val="22"/>
        </w:rPr>
        <w:t>(</w:t>
      </w:r>
      <w:r>
        <w:rPr>
          <w:rFonts w:cs="Times New Roman"/>
          <w:sz w:val="22"/>
          <w:lang w:val="ru-RU"/>
        </w:rPr>
        <w:t>один</w:t>
      </w:r>
      <w:r>
        <w:rPr>
          <w:rFonts w:hint="default" w:cs="Times New Roman"/>
          <w:sz w:val="22"/>
          <w:lang w:val="ru-RU"/>
        </w:rPr>
        <w:t xml:space="preserve"> миллион шестнадцать тысяч восемьсот сорок девять</w:t>
      </w:r>
      <w:r>
        <w:rPr>
          <w:rFonts w:cs="Times New Roman"/>
          <w:sz w:val="22"/>
        </w:rPr>
        <w:t>) руб</w:t>
      </w:r>
      <w:r>
        <w:rPr>
          <w:rFonts w:cs="Times New Roman"/>
          <w:sz w:val="22"/>
          <w:lang w:val="ru-RU"/>
        </w:rPr>
        <w:t>лей</w:t>
      </w:r>
      <w:r>
        <w:rPr>
          <w:rFonts w:hint="default" w:cs="Times New Roman"/>
          <w:sz w:val="22"/>
          <w:lang w:val="ru-RU"/>
        </w:rPr>
        <w:t xml:space="preserve"> 62</w:t>
      </w:r>
      <w:r>
        <w:rPr>
          <w:rFonts w:cs="Times New Roman"/>
          <w:sz w:val="22"/>
        </w:rPr>
        <w:t xml:space="preserve"> ко</w:t>
      </w:r>
      <w:r>
        <w:rPr>
          <w:rFonts w:cs="Times New Roman"/>
          <w:sz w:val="22"/>
          <w:lang w:val="ru-RU"/>
        </w:rPr>
        <w:t>пейки</w:t>
      </w:r>
    </w:p>
    <w:p w14:paraId="6622E849">
      <w:pPr>
        <w:pStyle w:val="8"/>
        <w:ind w:left="0"/>
        <w:rPr>
          <w:rFonts w:cs="Times New Roman"/>
          <w:b/>
          <w:sz w:val="22"/>
        </w:rPr>
      </w:pPr>
    </w:p>
    <w:p w14:paraId="1B437810">
      <w:pPr>
        <w:pStyle w:val="8"/>
        <w:ind w:left="0"/>
        <w:rPr>
          <w:rFonts w:cs="Times New Roman"/>
          <w:b/>
          <w:sz w:val="22"/>
        </w:rPr>
      </w:pPr>
    </w:p>
    <w:p w14:paraId="32584236">
      <w:pPr>
        <w:pStyle w:val="8"/>
        <w:rPr>
          <w:rFonts w:cs="Times New Roman"/>
          <w:sz w:val="22"/>
        </w:rPr>
      </w:pPr>
    </w:p>
    <w:p w14:paraId="73A14759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Порядок определения лотов имущества</w:t>
      </w:r>
    </w:p>
    <w:p w14:paraId="2CE4171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Лоты выставляемого на продажу имущества Должника и порядок их выставления на торги, а также объединения в единый лот определяются финансовым управляющим исходя из принципа разумности. </w:t>
      </w:r>
    </w:p>
    <w:p w14:paraId="75D50B9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В том случае, если торги, а также повторные торги, признаются несостоявшимися, состав лотов может быть изменен финансовым управляющим самостоятельно. Формирование лотов конкурсным управляющим способность имущества к продаже и инвестиционную привлекательность. </w:t>
      </w:r>
    </w:p>
    <w:p w14:paraId="13840E7F">
      <w:pPr>
        <w:pStyle w:val="8"/>
        <w:ind w:left="0"/>
        <w:rPr>
          <w:rFonts w:cs="Times New Roman"/>
          <w:sz w:val="22"/>
        </w:rPr>
      </w:pPr>
    </w:p>
    <w:p w14:paraId="1DC58868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Условия участия в аукционе</w:t>
      </w:r>
    </w:p>
    <w:p w14:paraId="1855C84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Прием заявок на приобретение указанного имущества начинается с даты опубликования сообщения на сайте www.fedresurs.ru в сети «Интернет». </w:t>
      </w:r>
    </w:p>
    <w:p w14:paraId="6EEB990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На каждый лот подается отдельная заявка, с указанием наименования и номера лота. Обязательными реквизитами заявки на участие в аукционе также являются: - обязательство участника торгов соблюдать требования, указанные в сообщении о проведении торгов; -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налогоплательщика, банковские реквизиты. </w:t>
      </w:r>
    </w:p>
    <w:p w14:paraId="63D272D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 К участию в торгах допускаются заявители, представившие заявки на участие в торгах, соответствующие требованиям п.1 ст. 12 Федерального закона от 24.07.2002 №101-ФЗ «Об обороте земель сельскохозяйственного назначения» п. 11 ст. 110 ФЗ «О несостоятельности (банкротстве)» и Приказа Минэкономразвития РФ от 23.07.2015 г. №495, а именно участники долевой собственности вышеуказанного имущества, а также сельскохозяйственной организации или гражданина - члена крестьянского (фермерского) хозяйства его использующего. 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сведения: наименование, организационно-правовую форму, место нахождения, почтовый адрес (для юридического лица) заявителя; ФИО, паспортные данные, сведения о месте жительства (для физического лица) заявителя; номер контактного телефона, адрес электронной почты заявителя; документ, подтверждающий полномочия лица на осуществление действий от имени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уставном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Документы, прилагаемые к заявке, представляются в форме электронных документов, подписанных квалифицированной электронной подписью заявителя. Также участники торгов представляют документы, подтверждающие участие в праве общей долевой собственности на земельный участок, либо документы, подтверждающие наличие у участников торгов статуса сельскохозяйственных организаций или граждан - членов крестьянского (фермерского) хозяйства, использующих указанный земельный участок. </w:t>
      </w:r>
    </w:p>
    <w:p w14:paraId="6026AAB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 Для участия в торгах Заявитель должен внести задаток в размере 20 % (Двадцать процентов) от начальной цены продажи имущества (соответствующего лота) на банковский счет, реквизиты которого указываются в сообщении о проведении торгов.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 </w:t>
      </w:r>
    </w:p>
    <w:p w14:paraId="07659A8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5. Финансовый управляющий может отказать претенденту в принятии заявки и (или) участии в аукционе в случае нарушения претендентом любого пункта из настоящего раздела.</w:t>
      </w:r>
    </w:p>
    <w:p w14:paraId="03452DB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6. Финансовый управляющий принимает меры по обеспечению сохранности заявок и прилагаемых к ним документов, в том числе, предложений о цене имущества, поданных претендентами при подаче заявок, а также конфиденциальности сведений о лицах, подавших заявки, и содержания представленных ими документов до момента их рассмотрения. </w:t>
      </w:r>
    </w:p>
    <w:p w14:paraId="5A424CDD">
      <w:pPr>
        <w:pStyle w:val="8"/>
        <w:ind w:left="0"/>
        <w:rPr>
          <w:rFonts w:cs="Times New Roman"/>
          <w:sz w:val="22"/>
        </w:rPr>
      </w:pPr>
    </w:p>
    <w:p w14:paraId="256FFC12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5. Порядок проведения торгов</w:t>
      </w:r>
    </w:p>
    <w:p w14:paraId="5329433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Торги проводятся финансовым управляющим, являющимся организатором торгов, в соответствии с Постановлением Конституционного Суда РФ от 16.05.2023 N 23-П, а также со статьями 139, 110, 111, 112, 140, ст. 129, 250, 255, 447, 448, 449 Гражданского кодекса Российской Федерации, с учётом положений п. 3 ст. 213.6, п. 1 ст. 213.7 и Главы X Федерального закона от 26.10.2002 г. № 127-ФЗ «О несостоятельности (банкротстве)», ст. 1, 12, 13, 14 Федерального закона от 24.07.2002 №101-ФЗ «Об обороте земель сельскохозяйственного назначения». </w:t>
      </w:r>
    </w:p>
    <w:p w14:paraId="729DE64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В соответствии с п.4 ст. 110 Закона о банкротстве Продажа предприятия осуществляется путем проведения открытых торгов, за исключением случая наличия в составе предприятия имущества, относящегося в соответствии с законодательством Российской Федерации к ограниченно оборотоспособному имуществу. В этом случае продажа предприятия осуществляется путем проведения закрытых торгов, в которых принимают участие только лица, которые в соответствии с федеральным законом могут иметь в собственности или на ином вещном праве имущество, относящееся к ограниченно оборотоспособному имуществу. </w:t>
      </w:r>
    </w:p>
    <w:p w14:paraId="1D272E1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 Проведение торгов в форме закрытого аукциона предполагает представление потенциальными покупателями наряду с документацией, как при проведении аукциона, так и дополнительных документов, подтверждающих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оборотоспособного имущества. </w:t>
      </w:r>
    </w:p>
    <w:p w14:paraId="39C54B6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 При продаже с торгов доли в праве общей собственности, принадлежащей должнику, конкурсный управляющий направляет другим участникам долевой собственности предложение приобрести принадлежащую должнику долю с указанием ее стоимости, равной начальной цене на торгах. При наличии согласия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При этом правило о преимущественном праве покупки участников долевой собственности не применяется в этом случае, а также при продаже с повторных торгов и продаже посредством публичного предложения. </w:t>
      </w:r>
    </w:p>
    <w:p w14:paraId="52B4070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5. Торги по реализации имущества проводятся в электронной форме на электронной торговой площадке – «Лот Банкрот» в сети Интернет на сайте: </w:t>
      </w:r>
      <w:r>
        <w:fldChar w:fldCharType="begin"/>
      </w:r>
      <w:r>
        <w:instrText xml:space="preserve"> HYPERLINK "https://torgi.lot-bankrot.com/" </w:instrText>
      </w:r>
      <w:r>
        <w:fldChar w:fldCharType="separate"/>
      </w:r>
      <w:r>
        <w:rPr>
          <w:rStyle w:val="5"/>
          <w:rFonts w:cs="Times New Roman"/>
          <w:sz w:val="22"/>
        </w:rPr>
        <w:t>https://torgi.lot-bankrot.com/</w:t>
      </w:r>
      <w:r>
        <w:rPr>
          <w:rStyle w:val="5"/>
          <w:rFonts w:cs="Times New Roman"/>
          <w:sz w:val="22"/>
        </w:rPr>
        <w:fldChar w:fldCharType="end"/>
      </w:r>
      <w:r>
        <w:rPr>
          <w:rFonts w:cs="Times New Roman"/>
          <w:sz w:val="22"/>
        </w:rPr>
        <w:t xml:space="preserve">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55FD6FA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6. Порядок проведения торгов. </w:t>
      </w:r>
    </w:p>
    <w:p w14:paraId="40BFF12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0044A27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305EF78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2C1785F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6EB0156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7.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42E873F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8.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25CFE95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9. Возврат и удержание задатков. </w:t>
      </w:r>
    </w:p>
    <w:p w14:paraId="6CE5DDE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10C73AD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0F7D57D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372D307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4419E78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76CE0E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4D7C476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5978B20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296BF0E">
      <w:pPr>
        <w:ind w:firstLine="0"/>
        <w:rPr>
          <w:rFonts w:cs="Times New Roman"/>
          <w:sz w:val="22"/>
        </w:rPr>
      </w:pPr>
    </w:p>
    <w:p w14:paraId="23FD4FD7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6. Оформление Результатов торгов и порядок заключения договора купли-продажи с победителем</w:t>
      </w:r>
    </w:p>
    <w:p w14:paraId="66138C5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По результатам торгов финансовый управляющий и победитель аукциона (покупатель) заключают в соответствии с законодательством Российской Федерации договор купли-продажи имущества. </w:t>
      </w:r>
    </w:p>
    <w:p w14:paraId="1E82505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Оплата приобретенного на торгах имущества производится не позднее, чем через 30 дней с даты заключения договора, путем перечисления денежных средств расчетный счет Должника. Задаток, внесенный покупателем на специальный счет, засчитывается в оплату приобретаемого имущества. </w:t>
      </w:r>
    </w:p>
    <w:p w14:paraId="2616920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 Передача финансовым управляющим имущества и принятие его покупателем осуществляются не позднее чем через 30 (Тридцать) дней после полной оплаты имущества по передаточному акту, подписываемому в соответствии с законодательством Российской Федерации. </w:t>
      </w:r>
    </w:p>
    <w:p w14:paraId="0020248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 В случае, если победитель уклоняется от заключения или оплаты договора купли-продажи, задаток, оплаченный им для участия в торгах не возвращается, в таком случае финансовый управляющий имеет право предложить заключить договор купли-продажи участнику, предложившему наибольшую цену по сравнению с победителем. </w:t>
      </w:r>
    </w:p>
    <w:p w14:paraId="79F56099">
      <w:pPr>
        <w:pStyle w:val="8"/>
        <w:ind w:left="0"/>
        <w:rPr>
          <w:rFonts w:cs="Times New Roman"/>
          <w:sz w:val="22"/>
        </w:rPr>
      </w:pPr>
    </w:p>
    <w:p w14:paraId="19F86BC2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7. Продажа Имущества Должника на повторных торгах</w:t>
      </w:r>
    </w:p>
    <w:p w14:paraId="4A958DC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4860F9D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14DEFFE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68AD79EC">
      <w:pPr>
        <w:pStyle w:val="8"/>
        <w:ind w:left="0"/>
        <w:rPr>
          <w:rFonts w:cs="Times New Roman"/>
          <w:sz w:val="22"/>
        </w:rPr>
      </w:pPr>
    </w:p>
    <w:p w14:paraId="75F949AD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8. Порядок продажи посредством публичного предложения</w:t>
      </w:r>
    </w:p>
    <w:p w14:paraId="6AC85CC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 В случае если повторные торги по продаже имущества Должника признаны несостоявшимися, а также в случае если договор купли-продажи, подлежащий заключению по результатам повторных торгов, не был заключен, то такое имущество подлежит реализации посредством публичного предложения. </w:t>
      </w:r>
    </w:p>
    <w:p w14:paraId="741532A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 Условия реализации имущества Должника посредством публичного предложения: </w:t>
      </w:r>
    </w:p>
    <w:p w14:paraId="0C65546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208AC3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171E7ED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6F28407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0F386A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3A2334D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3381DDB">
      <w:pPr>
        <w:pStyle w:val="8"/>
        <w:numPr>
          <w:ilvl w:val="0"/>
          <w:numId w:val="1"/>
        </w:numPr>
        <w:ind w:left="142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D1EC1F7">
      <w:pPr>
        <w:pStyle w:val="8"/>
        <w:numPr>
          <w:ilvl w:val="0"/>
          <w:numId w:val="1"/>
        </w:numPr>
        <w:ind w:left="142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974A184">
      <w:pPr>
        <w:pStyle w:val="8"/>
        <w:numPr>
          <w:ilvl w:val="0"/>
          <w:numId w:val="1"/>
        </w:numPr>
        <w:ind w:left="142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7AD901F9">
      <w:pPr>
        <w:pStyle w:val="8"/>
        <w:numPr>
          <w:ilvl w:val="0"/>
          <w:numId w:val="1"/>
        </w:numPr>
        <w:ind w:left="142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6D15ECD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7. Все расходы, связанные с переоформлением прав собственности на Имущество Должника, подлежащего реализации в соответствии с условиями настоящего Положения, возлагаются на покупателя. </w:t>
      </w:r>
    </w:p>
    <w:p w14:paraId="2E419A0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8. Вопросы, не урегулированные настоящим Положением, решаются в соответствии с законодательством Российской Федерации».</w:t>
      </w:r>
    </w:p>
    <w:p w14:paraId="3A6D6994">
      <w:pPr>
        <w:pStyle w:val="8"/>
        <w:ind w:left="0"/>
        <w:rPr>
          <w:rFonts w:cs="Times New Roman"/>
          <w:sz w:val="22"/>
        </w:rPr>
      </w:pPr>
    </w:p>
    <w:p w14:paraId="146786BF">
      <w:pPr>
        <w:pStyle w:val="8"/>
        <w:ind w:left="0"/>
        <w:rPr>
          <w:rStyle w:val="4"/>
          <w:rFonts w:cs="Times New Roman"/>
          <w:b/>
          <w:i w:val="0"/>
          <w:sz w:val="22"/>
        </w:rPr>
      </w:pPr>
      <w:r>
        <w:rPr>
          <w:rFonts w:cs="Times New Roman"/>
          <w:sz w:val="22"/>
        </w:rPr>
        <w:t>Финансовый управляющий ____________________ / Кубрак Е.А./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79"/>
    <w:rsid w:val="00051844"/>
    <w:rsid w:val="00087092"/>
    <w:rsid w:val="000C1D46"/>
    <w:rsid w:val="000E49AC"/>
    <w:rsid w:val="000F3CB8"/>
    <w:rsid w:val="000F7A38"/>
    <w:rsid w:val="001166E5"/>
    <w:rsid w:val="001705B9"/>
    <w:rsid w:val="001D28C4"/>
    <w:rsid w:val="001F196D"/>
    <w:rsid w:val="001F3ED0"/>
    <w:rsid w:val="002104D0"/>
    <w:rsid w:val="002149DE"/>
    <w:rsid w:val="002363E8"/>
    <w:rsid w:val="00254308"/>
    <w:rsid w:val="002561FD"/>
    <w:rsid w:val="00260B6A"/>
    <w:rsid w:val="00274FA7"/>
    <w:rsid w:val="00292FD9"/>
    <w:rsid w:val="00297C30"/>
    <w:rsid w:val="00306093"/>
    <w:rsid w:val="0031131D"/>
    <w:rsid w:val="00312ECB"/>
    <w:rsid w:val="00313719"/>
    <w:rsid w:val="003208C6"/>
    <w:rsid w:val="003219D5"/>
    <w:rsid w:val="00322A3A"/>
    <w:rsid w:val="003422EF"/>
    <w:rsid w:val="00345531"/>
    <w:rsid w:val="00350C30"/>
    <w:rsid w:val="003577BB"/>
    <w:rsid w:val="003654C4"/>
    <w:rsid w:val="003D528C"/>
    <w:rsid w:val="00426CC4"/>
    <w:rsid w:val="00437766"/>
    <w:rsid w:val="00437799"/>
    <w:rsid w:val="004450B7"/>
    <w:rsid w:val="004548BB"/>
    <w:rsid w:val="00456A79"/>
    <w:rsid w:val="004678D9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A6CDE"/>
    <w:rsid w:val="005B477A"/>
    <w:rsid w:val="005C2532"/>
    <w:rsid w:val="005C4AA8"/>
    <w:rsid w:val="005C720E"/>
    <w:rsid w:val="005D4C00"/>
    <w:rsid w:val="005E21E5"/>
    <w:rsid w:val="005F39D9"/>
    <w:rsid w:val="00614140"/>
    <w:rsid w:val="00656F1A"/>
    <w:rsid w:val="006813F8"/>
    <w:rsid w:val="00692E1A"/>
    <w:rsid w:val="006D030A"/>
    <w:rsid w:val="006E5AFE"/>
    <w:rsid w:val="006F5D57"/>
    <w:rsid w:val="00706290"/>
    <w:rsid w:val="00737AC5"/>
    <w:rsid w:val="007D4BFB"/>
    <w:rsid w:val="007F58D7"/>
    <w:rsid w:val="00804DC3"/>
    <w:rsid w:val="00874CED"/>
    <w:rsid w:val="008816CF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D2C89"/>
    <w:rsid w:val="009D508D"/>
    <w:rsid w:val="009F1D12"/>
    <w:rsid w:val="00A02A09"/>
    <w:rsid w:val="00A356B3"/>
    <w:rsid w:val="00A7278C"/>
    <w:rsid w:val="00A92EF9"/>
    <w:rsid w:val="00AA6079"/>
    <w:rsid w:val="00AB441A"/>
    <w:rsid w:val="00AC6B4C"/>
    <w:rsid w:val="00AE1EEF"/>
    <w:rsid w:val="00AF2D6C"/>
    <w:rsid w:val="00B52A0D"/>
    <w:rsid w:val="00B718E2"/>
    <w:rsid w:val="00B85DC1"/>
    <w:rsid w:val="00BD79DD"/>
    <w:rsid w:val="00BE7984"/>
    <w:rsid w:val="00C021BB"/>
    <w:rsid w:val="00C122DB"/>
    <w:rsid w:val="00C2690C"/>
    <w:rsid w:val="00C337F1"/>
    <w:rsid w:val="00C353E9"/>
    <w:rsid w:val="00C75D61"/>
    <w:rsid w:val="00C87464"/>
    <w:rsid w:val="00CC7525"/>
    <w:rsid w:val="00CC756B"/>
    <w:rsid w:val="00D17C81"/>
    <w:rsid w:val="00D61BB1"/>
    <w:rsid w:val="00D72C88"/>
    <w:rsid w:val="00D7455D"/>
    <w:rsid w:val="00D961FC"/>
    <w:rsid w:val="00DB6F7F"/>
    <w:rsid w:val="00DC0C8D"/>
    <w:rsid w:val="00DD1D20"/>
    <w:rsid w:val="00DD1DF6"/>
    <w:rsid w:val="00DF7A56"/>
    <w:rsid w:val="00E03F90"/>
    <w:rsid w:val="00E11260"/>
    <w:rsid w:val="00E2450E"/>
    <w:rsid w:val="00E27212"/>
    <w:rsid w:val="00E80EE9"/>
    <w:rsid w:val="00EF3164"/>
    <w:rsid w:val="00F11192"/>
    <w:rsid w:val="00F369C8"/>
    <w:rsid w:val="00F462B3"/>
    <w:rsid w:val="00F535FD"/>
    <w:rsid w:val="00F744D2"/>
    <w:rsid w:val="00F90734"/>
    <w:rsid w:val="00F95833"/>
    <w:rsid w:val="00FB0F39"/>
    <w:rsid w:val="00FB4EFC"/>
    <w:rsid w:val="00FD185E"/>
    <w:rsid w:val="00FD6A8E"/>
    <w:rsid w:val="00FF24D8"/>
    <w:rsid w:val="384B43B6"/>
    <w:rsid w:val="45CF4E6C"/>
    <w:rsid w:val="73FC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indent"/>
    <w:basedOn w:val="1"/>
    <w:qFormat/>
    <w:uiPriority w:val="0"/>
    <w:pPr>
      <w:spacing w:before="240" w:after="240"/>
      <w:ind w:firstLine="708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3647</Words>
  <Characters>20791</Characters>
  <Lines>173</Lines>
  <Paragraphs>48</Paragraphs>
  <TotalTime>1</TotalTime>
  <ScaleCrop>false</ScaleCrop>
  <LinksUpToDate>false</LinksUpToDate>
  <CharactersWithSpaces>24390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2022-03-21T05:39:00Z</dcterms:created>
  <dc:creator>sale_1</dc:creator>
  <cp:lastModifiedBy>User</cp:lastModifiedBy>
  <cp:lastPrinted>2025-04-18T01:59:55Z</cp:lastPrinted>
  <dcterms:modified xsi:type="dcterms:W3CDTF">2025-04-18T02:11:00Z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38F75313F37E4F9784C218D04D4828A9_13</vt:lpwstr>
  </property>
</Properties>
</file>