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6E7FC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УТВЕРЖДЕНО</w:t>
      </w:r>
    </w:p>
    <w:p w14:paraId="28AD332A">
      <w:pPr>
        <w:wordWrap w:val="0"/>
        <w:jc w:val="right"/>
        <w:rPr>
          <w:rStyle w:val="4"/>
          <w:rFonts w:hint="default" w:cs="Times New Roman"/>
          <w:i w:val="0"/>
          <w:sz w:val="22"/>
          <w:lang w:val="ru-RU"/>
        </w:rPr>
      </w:pPr>
      <w:r>
        <w:rPr>
          <w:rStyle w:val="4"/>
          <w:rFonts w:cs="Times New Roman"/>
          <w:i w:val="0"/>
          <w:sz w:val="22"/>
          <w:lang w:val="ru-RU"/>
        </w:rPr>
        <w:t>Собранием</w:t>
      </w:r>
      <w:r>
        <w:rPr>
          <w:rStyle w:val="4"/>
          <w:rFonts w:hint="default" w:cs="Times New Roman"/>
          <w:i w:val="0"/>
          <w:sz w:val="22"/>
          <w:lang w:val="ru-RU"/>
        </w:rPr>
        <w:t xml:space="preserve"> кредиторов</w:t>
      </w:r>
    </w:p>
    <w:p w14:paraId="73562EA6">
      <w:pPr>
        <w:jc w:val="right"/>
        <w:rPr>
          <w:rStyle w:val="4"/>
          <w:rFonts w:cs="Times New Roman"/>
          <w:i w:val="0"/>
          <w:sz w:val="22"/>
        </w:rPr>
      </w:pPr>
      <w:r>
        <w:rPr>
          <w:rStyle w:val="4"/>
          <w:rFonts w:cs="Times New Roman"/>
          <w:i w:val="0"/>
          <w:sz w:val="22"/>
        </w:rPr>
        <w:t>«__» ____________ 202</w:t>
      </w:r>
      <w:r>
        <w:rPr>
          <w:rStyle w:val="4"/>
          <w:rFonts w:hint="default" w:cs="Times New Roman"/>
          <w:i w:val="0"/>
          <w:sz w:val="22"/>
          <w:lang w:val="ru-RU"/>
        </w:rPr>
        <w:t>5</w:t>
      </w:r>
      <w:r>
        <w:rPr>
          <w:rStyle w:val="4"/>
          <w:rFonts w:cs="Times New Roman"/>
          <w:i w:val="0"/>
          <w:sz w:val="22"/>
        </w:rPr>
        <w:t>г.</w:t>
      </w:r>
    </w:p>
    <w:p w14:paraId="0B373216">
      <w:pPr>
        <w:jc w:val="right"/>
        <w:rPr>
          <w:rFonts w:hint="default"/>
          <w:sz w:val="22"/>
          <w:szCs w:val="22"/>
          <w:lang w:val="ru-RU"/>
        </w:rPr>
      </w:pPr>
      <w:r>
        <w:rPr>
          <w:rStyle w:val="4"/>
          <w:rFonts w:cs="Times New Roman"/>
          <w:i w:val="0"/>
          <w:sz w:val="22"/>
        </w:rPr>
        <w:t xml:space="preserve">По делу № </w:t>
      </w:r>
      <w:r>
        <w:rPr>
          <w:rStyle w:val="4"/>
          <w:rFonts w:hint="default" w:cs="Times New Roman"/>
          <w:i w:val="0"/>
          <w:sz w:val="22"/>
          <w:lang w:val="ru-RU"/>
        </w:rPr>
        <w:t>А03-8533/2025</w:t>
      </w:r>
    </w:p>
    <w:p w14:paraId="78D80E9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8BBA8AE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7322CB5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  <w:r>
        <w:rPr>
          <w:rFonts w:hint="default" w:cs="Times New Roman"/>
          <w:b/>
          <w:sz w:val="22"/>
          <w:lang w:val="ru-RU"/>
        </w:rPr>
        <w:t>Сахно Владимира Дмитриевича</w:t>
      </w:r>
    </w:p>
    <w:p w14:paraId="3E6858D4">
      <w:pPr>
        <w:pStyle w:val="8"/>
        <w:ind w:left="0"/>
        <w:jc w:val="center"/>
        <w:rPr>
          <w:rFonts w:hint="default" w:cs="Times New Roman"/>
          <w:b/>
          <w:sz w:val="22"/>
          <w:lang w:val="ru-RU"/>
        </w:rPr>
      </w:pPr>
    </w:p>
    <w:p w14:paraId="12A2DB1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494D837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</w:t>
      </w:r>
      <w:r>
        <w:rPr>
          <w:rFonts w:hint="default" w:cs="Times New Roman"/>
          <w:sz w:val="22"/>
          <w:lang w:val="ru-RU"/>
        </w:rPr>
        <w:t xml:space="preserve"> Сахно Владимир Дмитриевич (дата рождения: 05.10.1964, место рождения: С. КОРМОВИЩЕ БУРЛИНСКОГО Р-НА АЛТАЙСКОГО КРАЯ, СНИЛС 054-843-806 77, ИНН 223501506338, регистрация по месту жительства: 658982, Россия, Алтайский край, Ключевский р-н, село Покровка, ул Пролетарская, д 72)</w:t>
      </w:r>
      <w:r>
        <w:rPr>
          <w:rFonts w:cs="Times New Roman"/>
          <w:sz w:val="22"/>
        </w:rPr>
        <w:t xml:space="preserve"> признан несостоятельн</w:t>
      </w:r>
      <w:r>
        <w:rPr>
          <w:rFonts w:cs="Times New Roman"/>
          <w:sz w:val="22"/>
          <w:lang w:val="ru-RU"/>
        </w:rPr>
        <w:t>ым</w:t>
      </w:r>
      <w:r>
        <w:rPr>
          <w:rFonts w:cs="Times New Roman"/>
          <w:sz w:val="22"/>
        </w:rPr>
        <w:t xml:space="preserve"> (банкротом) </w:t>
      </w:r>
      <w:r>
        <w:rPr>
          <w:rFonts w:hint="default" w:cs="Times New Roman"/>
          <w:sz w:val="22"/>
          <w:lang w:val="ru-RU"/>
        </w:rPr>
        <w:t>Решением Арбитражного суда Алатйского края  от 02.07.2025 г.  по делу № А03-8533/2025</w:t>
      </w:r>
      <w:r>
        <w:rPr>
          <w:rFonts w:cs="Times New Roman"/>
          <w:sz w:val="22"/>
        </w:rPr>
        <w:t xml:space="preserve"> и в отношении не</w:t>
      </w:r>
      <w:r>
        <w:rPr>
          <w:rFonts w:cs="Times New Roman"/>
          <w:sz w:val="22"/>
          <w:lang w:val="ru-RU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70ABBFD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r>
        <w:rPr>
          <w:rFonts w:eastAsia="Arial Unicode MS" w:cs="Times New Roman"/>
          <w:iCs/>
          <w:kern w:val="2"/>
          <w:sz w:val="22"/>
        </w:rPr>
        <w:t>Кубрак Екатерина Александровна</w:t>
      </w:r>
      <w:r>
        <w:rPr>
          <w:rFonts w:cs="Times New Roman"/>
          <w:sz w:val="22"/>
        </w:rPr>
        <w:t xml:space="preserve"> (ИНН 246417014946, СНИЛС 159-752-736 18, рег.№ </w:t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>22308), член Союз СРО "ГАУ" - Союз "Саморегулируемая организация "Гильдия арбитражных управляющих" (420034, Респ Татарстан, г Казань, ул. Соловецких Юнг, д. 7, оф. 1004, ИНН 1660062005, ОГРН 1021603626098).</w:t>
      </w:r>
    </w:p>
    <w:p w14:paraId="0010903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</w:t>
      </w:r>
      <w:r>
        <w:rPr>
          <w:rFonts w:hint="default" w:cs="Times New Roman"/>
          <w:sz w:val="22"/>
          <w:lang w:val="ru-RU"/>
        </w:rPr>
        <w:t>»</w:t>
      </w:r>
      <w:r>
        <w:rPr>
          <w:rFonts w:cs="Times New Roman"/>
          <w:sz w:val="22"/>
        </w:rPr>
        <w:t xml:space="preserve">. </w:t>
      </w:r>
    </w:p>
    <w:p w14:paraId="5D144DF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торгов</w:t>
      </w:r>
      <w:r>
        <w:rPr>
          <w:rFonts w:cs="Times New Roman"/>
          <w:sz w:val="22"/>
        </w:rPr>
        <w:t xml:space="preserve"> – финансовый управляющий. </w:t>
      </w:r>
    </w:p>
    <w:p w14:paraId="12BD6F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7141D1B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77332472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1 - </w:t>
      </w:r>
      <w:r>
        <w:rPr>
          <w:rFonts w:hint="default" w:cs="Times New Roman"/>
          <w:sz w:val="22"/>
          <w:lang w:val="ru-RU"/>
        </w:rPr>
        <w:t>земельный участок, категория земель: Земли сельскохозяйственного назначения, разрешенное использование: Для развития личного подсобного хозяйства, сенокошения, пастьбы скота, общая площадь: 7 554 951 кв.м., Кадастровый номер: 22:46:000000:12. Адрес: Алтайский край, Табунский район, с. Николаевка. Общая долевая собственность, 377 баллогектаров.</w:t>
      </w:r>
      <w:r>
        <w:rPr>
          <w:rFonts w:hint="default"/>
          <w:sz w:val="22"/>
          <w:szCs w:val="22"/>
          <w:lang w:val="ru-RU"/>
        </w:rPr>
        <w:t xml:space="preserve"> </w:t>
      </w:r>
    </w:p>
    <w:p w14:paraId="5EF5D615">
      <w:pPr>
        <w:pStyle w:val="8"/>
        <w:tabs>
          <w:tab w:val="left" w:pos="6480"/>
        </w:tabs>
        <w:ind w:left="0"/>
        <w:jc w:val="both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3B8CE1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прилагаемые к ней документы, перечень которых предусмотрен настоящим Положением. </w:t>
      </w:r>
    </w:p>
    <w:p w14:paraId="01BEA79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  <w:r>
        <w:rPr>
          <w:rFonts w:cs="Times New Roman"/>
          <w:sz w:val="22"/>
          <w:shd w:val="clear" w:color="auto" w:fill="FFFFFF"/>
        </w:rPr>
        <w:t xml:space="preserve">Участником закрытых торгов могут быть другие участники долевой собственности, а также сельскохозяйственные организации или граждане - члены крестьянского (фермерского) хозяйства, использующие земельный участок, находящийся в долевой собственности. Документом, подтверждающим возможность продажи земельной доли, является документ, удостоверяющий право покупателя на земельную долю в составе того же земельного участка, что и приобретаемая земельная доля, или документ, подтверждающий право покупателя земельной доли на использование земельного участка, в составе которого имеется приобретаемая земельная доля. </w:t>
      </w:r>
    </w:p>
    <w:p w14:paraId="62ADAA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0F563D6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претендент, допущенный Организатором торгов к участию в торгах по продаже Имущества Должника. </w:t>
      </w:r>
    </w:p>
    <w:p w14:paraId="46B78D2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26.10.2002 г. № 127-ФЗ «О несостоятельности (банкротстве)» и настоящим Положением. </w:t>
      </w:r>
    </w:p>
    <w:p w14:paraId="22B90EB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1931EA3F">
      <w:pPr>
        <w:pStyle w:val="8"/>
        <w:ind w:left="0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 xml:space="preserve">Лот № 1 – </w:t>
      </w:r>
      <w:r>
        <w:rPr>
          <w:rFonts w:hint="default"/>
          <w:sz w:val="22"/>
          <w:szCs w:val="22"/>
          <w:lang w:val="ru-RU"/>
        </w:rPr>
        <w:t>263 900 (двести шестьдесят три тысячи девятьсот) рублей 00 копеек</w:t>
      </w:r>
    </w:p>
    <w:p w14:paraId="4ED1693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по результатам подведения итогов торгов по продаже Имущества Должника. </w:t>
      </w:r>
    </w:p>
    <w:p w14:paraId="7BFCFFB9">
      <w:pPr>
        <w:pStyle w:val="8"/>
        <w:ind w:left="0"/>
        <w:rPr>
          <w:rFonts w:cs="Times New Roman"/>
          <w:sz w:val="22"/>
        </w:rPr>
      </w:pPr>
    </w:p>
    <w:p w14:paraId="6F55C120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11E857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1. Настоящее положение о порядке, сроках и условиях продажи разработано в соответствии с требованиями Федерального закона от 26.10.2002 № 127-ФЗ «О несостоятельности (банкротстве)» (далее – «Положение»), а также в целях максимально полного удовлетворения требований кредиторов Должника. </w:t>
      </w:r>
    </w:p>
    <w:p w14:paraId="20DAF970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2. Продажа имущества Должника и публикация информационного сообщения производится финансовым управляющим, в соответствии Постановлением Конституционного Суда РФ от 16.05.2023 N 23-П, со статьями 139, 110, 111, 112, 140, ст. 129, 250, 255, 447, 448, 449 Гражданского кодекса Российской Федерации, с учѐтом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Имущество выставляется на торги после утверждения настоящего положения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</w:t>
      </w:r>
    </w:p>
    <w:p w14:paraId="701CCC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3. Информационное сообщение о проведении аукциона публикуется организатором торгов на сайте www.fedresurs.ru в сети «Интернет», в соответствии со ст. 28, ст.213.7 Закона о банкротстве, не позднее, чем за тридцать дней до даты проведения торгов. Организатор торгов вправе, с учетом принципа разумности, опубликовать дополнительные информационные сообщения о проведении торгов в органе печати, в том числе по месту нахождения Должника и (или) нахождению имущества, до даты окончания приема заявок. Дополнительные информационные сообщения должны содержать наименование лотов, сроки подачи заявок, дату торгов и ссылку на сайт ЕФРСБ (для органов печати), где размещены торги.</w:t>
      </w:r>
    </w:p>
    <w:p w14:paraId="4E85AB5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 Во исполнение п.4 ст. 110 ФЗ «О несостоятельности (банкротстве)», а также в целях обеспечения максимального удовлетворения требований кредиторов, в том числе для обеспечения защиты интересов Российской Федерации, как кредитора в рамках дела о банкротстве (как в части задолженности, включенной в реестр кредиторов, так и в части уплаты текущих платежей), проведения прозрачной процедуры реализации, продажа имущества должника производится путем проведения закрытых по составу участников торгов в форме аукциона с открытой формой подачи предложений о цене.</w:t>
      </w:r>
    </w:p>
    <w:p w14:paraId="635F06E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4.1. 1.2. Продажа Имущества осуществляется следующими этапами: </w:t>
      </w:r>
    </w:p>
    <w:p w14:paraId="4A3252C3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20F48605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441B6A2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1001A14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Переход к каждому последующему этапу продажи Имущества возможен только в том случае, если Имущество Должника не было продано на предыдущем этапе.  </w:t>
      </w:r>
    </w:p>
    <w:p w14:paraId="3EDB542D">
      <w:pPr>
        <w:pStyle w:val="8"/>
        <w:ind w:left="0"/>
        <w:rPr>
          <w:rFonts w:hint="default" w:cs="Times New Roman"/>
          <w:sz w:val="22"/>
          <w:lang w:val="ru-RU"/>
        </w:rPr>
      </w:pPr>
      <w:r>
        <w:rPr>
          <w:rFonts w:cs="Times New Roman"/>
          <w:sz w:val="22"/>
        </w:rPr>
        <w:t xml:space="preserve">5. Для привлечения максимально широкого круга потенциальных покупателей к участию в торгах, созданию естественной конкуренции и ситуации, при которой реализация имущества происходит по максимально возможным итоговым ценам, начальная цена утверждается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кредиторов. </w:t>
      </w:r>
    </w:p>
    <w:p w14:paraId="4ED9CB70">
      <w:pPr>
        <w:pStyle w:val="8"/>
        <w:ind w:left="0"/>
        <w:rPr>
          <w:rFonts w:cs="Times New Roman"/>
          <w:sz w:val="22"/>
        </w:rPr>
      </w:pPr>
    </w:p>
    <w:p w14:paraId="04F47EC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2. Порядок определения цены имущества</w:t>
      </w:r>
    </w:p>
    <w:p w14:paraId="692A825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Начальная цена следующего Имущества Должника, подлежащего реализации в соответствии с условиями настоящего Положения, подлежит утверждению </w:t>
      </w:r>
      <w:r>
        <w:rPr>
          <w:rFonts w:cs="Times New Roman"/>
          <w:sz w:val="22"/>
          <w:lang w:val="ru-RU"/>
        </w:rPr>
        <w:t>собранием</w:t>
      </w:r>
      <w:r>
        <w:rPr>
          <w:rFonts w:hint="default" w:cs="Times New Roman"/>
          <w:sz w:val="22"/>
          <w:lang w:val="ru-RU"/>
        </w:rPr>
        <w:t xml:space="preserve"> кредиторов</w:t>
      </w:r>
      <w:r>
        <w:rPr>
          <w:rFonts w:cs="Times New Roman"/>
          <w:sz w:val="22"/>
        </w:rPr>
        <w:t xml:space="preserve"> и приведена ниже: </w:t>
      </w:r>
    </w:p>
    <w:p w14:paraId="65A6F6B6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  <w:r>
        <w:rPr>
          <w:rFonts w:cs="Times New Roman"/>
          <w:sz w:val="22"/>
        </w:rPr>
        <w:t>Лот № 1 -</w:t>
      </w:r>
      <w:r>
        <w:rPr>
          <w:rFonts w:hint="default" w:cs="Times New Roman"/>
          <w:sz w:val="22"/>
          <w:lang w:val="ru-RU"/>
        </w:rPr>
        <w:t xml:space="preserve"> земельный участок, категория земель: Земли сельскохозяйственного назначения, разрешенное использование: Для развития личного подсобного хозяйства, сенокошения, пастьбы скота, общая площадь: 7 554 951 кв.м., Кадастровый номер: 22:46:000000:12. Адрес: Алтайский край, Табунский район, с. Николаевка. Общая долевая собственность, 377 баллогектаров.</w:t>
      </w:r>
      <w:r>
        <w:rPr>
          <w:rFonts w:hint="default"/>
          <w:sz w:val="22"/>
          <w:szCs w:val="22"/>
          <w:lang w:val="ru-RU"/>
        </w:rPr>
        <w:t xml:space="preserve">  </w:t>
      </w:r>
    </w:p>
    <w:p w14:paraId="25F85A0D">
      <w:pPr>
        <w:pStyle w:val="10"/>
        <w:spacing w:before="0" w:after="0"/>
        <w:ind w:firstLine="709"/>
        <w:rPr>
          <w:rFonts w:hint="default"/>
          <w:sz w:val="22"/>
          <w:szCs w:val="22"/>
          <w:lang w:val="ru-RU"/>
        </w:rPr>
      </w:pPr>
    </w:p>
    <w:p w14:paraId="32584236">
      <w:pPr>
        <w:pStyle w:val="8"/>
        <w:ind w:left="0"/>
        <w:rPr>
          <w:rFonts w:hint="default"/>
          <w:b w:val="0"/>
          <w:bCs/>
          <w:sz w:val="22"/>
          <w:szCs w:val="22"/>
          <w:lang w:val="ru-RU"/>
        </w:rPr>
      </w:pPr>
      <w:r>
        <w:rPr>
          <w:rFonts w:cs="Times New Roman"/>
          <w:b/>
          <w:sz w:val="22"/>
        </w:rPr>
        <w:t xml:space="preserve">Начальная цена продажи: </w:t>
      </w:r>
      <w:r>
        <w:rPr>
          <w:rFonts w:hint="default" w:cs="Times New Roman"/>
          <w:b w:val="0"/>
          <w:bCs/>
          <w:sz w:val="22"/>
          <w:lang w:val="ru-RU"/>
        </w:rPr>
        <w:t>263 900 (двести шестьдесят три тысячи девятьсот) рублей 00 копеек</w:t>
      </w:r>
      <w:r>
        <w:rPr>
          <w:rFonts w:hint="default"/>
          <w:b w:val="0"/>
          <w:bCs/>
          <w:sz w:val="22"/>
          <w:szCs w:val="22"/>
          <w:lang w:val="ru-RU"/>
        </w:rPr>
        <w:t>.</w:t>
      </w:r>
    </w:p>
    <w:p w14:paraId="4F4F8F06">
      <w:pPr>
        <w:pStyle w:val="8"/>
        <w:ind w:left="0"/>
        <w:rPr>
          <w:rFonts w:hint="default"/>
          <w:sz w:val="22"/>
          <w:szCs w:val="22"/>
          <w:lang w:val="ru-RU"/>
        </w:rPr>
      </w:pPr>
      <w:bookmarkStart w:id="0" w:name="_GoBack"/>
      <w:bookmarkEnd w:id="0"/>
    </w:p>
    <w:p w14:paraId="73A14759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Порядок определения лотов имущества</w:t>
      </w:r>
    </w:p>
    <w:p w14:paraId="2CE417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Лоты выставляемого на продажу имущества Должника и порядок их выставления на торги, а также объединения в единый лот определяются финансовым управляющим исходя из принципа разумности. </w:t>
      </w:r>
    </w:p>
    <w:p w14:paraId="75D50B9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том случае, если торги, а также повторные торги, признаются несостоявшимися, состав лотов может быть изменен финансовым управляющим самостоятельно. Формирование лотов конкурсным управляющим способность имущества к продаже и инвестиционную привлекательность. </w:t>
      </w:r>
    </w:p>
    <w:p w14:paraId="13840E7F">
      <w:pPr>
        <w:pStyle w:val="8"/>
        <w:ind w:left="0"/>
        <w:rPr>
          <w:rFonts w:cs="Times New Roman"/>
          <w:sz w:val="22"/>
        </w:rPr>
      </w:pPr>
    </w:p>
    <w:p w14:paraId="1DC58868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Условия участия в аукционе</w:t>
      </w:r>
    </w:p>
    <w:p w14:paraId="1855C84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Прием заявок на приобретение указанного имущества начинается с даты опубликования сообщения на сайте www.fedresurs.ru в сети «Интернет». </w:t>
      </w:r>
    </w:p>
    <w:p w14:paraId="6EEB99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 каждый лот подается отдельная заявка, с указанием наименования и номера лота. Обязательными реквизитами заявки на участие в аукционе также являются: - обязательство участника торгов соблюдать требования, указанные в сообщении о проведении торгов; -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налогоплательщика, банковские реквизиты. </w:t>
      </w:r>
    </w:p>
    <w:p w14:paraId="63D272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К участию в торгах допускаются заявители, представившие заявки на участие в торгах, соответствующие требованиям п.1 ст. 12 Федерального закона от 24.07.2002 №101-ФЗ «Об обороте земель сельскохозяйственного назначения» п. 11 ст. 110 ФЗ «О несостоятельности (банкротстве)» и Приказа Минэкономразвития РФ от 23.07.2015 г. №495, а именно участники долевой собственности вышеуказанного имущества, а также сельскохозяйственной организации или гражданина - члена крестьянского (фермерского) хозяйства его использующего. Заявка на участие в торгах оформляется произвольно в письменной форме на русском языке и должна содержать указанные в сообщении о проведении торгов следующие сведения: наименование, организационно-правовую форму, место нахождения, почтовый адрес (для юридического лица) заявителя; ФИО, паспортные данные, сведения о месте жительства (для физического лица) заявителя; номер контактного телефона, адрес электронной почты заявителя; документ, подтверждающий полномочия лица на осуществление действий от имени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уставном капитале заявителя конкурсного управляющего, а также саморегулируемой организации арбитражных управляющих, членом или руководителем которой является конкурсный управляющий. Документы, прилагаемые к заявке, представляются в форме электронных документов, подписанных квалифицированной электронной подписью заявителя. Также участники торгов представляют документы, подтверждающие участие в праве общей долевой собственности на земельный участок, либо документы, подтверждающие наличие у участников торгов статуса сельскохозяйственных организаций или граждан - членов крестьянского (фермерского) хозяйства, использующих указанный земельный участок. </w:t>
      </w:r>
    </w:p>
    <w:p w14:paraId="6026AAB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Для участия в торгах Заявитель должен внести задаток в размере 20 % (Двадцать процентов) от начальной цены продажи имущества (соответствующего лота) на банковский счет, реквизиты которого указываются в сообщении о проведении торгов.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 </w:t>
      </w:r>
    </w:p>
    <w:p w14:paraId="07659A8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5. Финансовый управляющий может отказать претенденту в принятии заявки и (или) участии в аукционе в случае нарушения претендентом любого пункта из настоящего раздела.</w:t>
      </w:r>
    </w:p>
    <w:p w14:paraId="03452DB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Финансовый управляющий принимает меры по обеспечению сохранности заявок и прилагаемых к ним документов, в том числе,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 </w:t>
      </w:r>
    </w:p>
    <w:p w14:paraId="5A424CDD">
      <w:pPr>
        <w:pStyle w:val="8"/>
        <w:ind w:left="0"/>
        <w:rPr>
          <w:rFonts w:cs="Times New Roman"/>
          <w:sz w:val="22"/>
        </w:rPr>
      </w:pPr>
    </w:p>
    <w:p w14:paraId="256FFC1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5. Порядок проведения торгов</w:t>
      </w:r>
    </w:p>
    <w:p w14:paraId="5329433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Торги проводятся финансовым управляющим, являющимся организатором торгов, в соответствии с Постановлением Конституционного Суда РФ от 16.05.2023 N 23-П, а также со статьями 139, 110, 111, 112, 140, ст. 129, 250, 255, 447, 448, 449 Гражданского кодекса Российской Федерации, с учётом положений п. 3 ст. 213.6, п. 1 ст. 213.7 и Главы X Федерального закона от 26.10.2002 г. № 127-ФЗ «О несостоятельности (банкротстве)», ст. 1, 12, 13, 14 Федерального закона от 24.07.2002 №101-ФЗ «Об обороте земель сельскохозяйственного назначения». </w:t>
      </w:r>
    </w:p>
    <w:p w14:paraId="729DE64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В соответствии с п.4 ст. 110 Закона о банкротстве Продажа предприятия осуществляется путем проведения открытых торгов, за исключением случая наличия в составе предприятия имущества, относящегося в соответствии с законодательством Российской Федерации к ограниченно оборотоспособному имуществу. В этом случае продажа предприятия осуществляется путем проведения закрытых торгов, в которых принимают участие только лица, которые в соответствии с федеральным законом могут иметь в собственности или на ином вещном праве имущество, относящееся к ограниченно оборотоспособному имуществу. </w:t>
      </w:r>
    </w:p>
    <w:p w14:paraId="1D272E10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Проведение торгов в форме закрытого аукциона предполагает представление потенциальными покупателями наряду с документацией, как при проведении аукциона, так и дополнительных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оборотоспособного имущества. </w:t>
      </w:r>
    </w:p>
    <w:p w14:paraId="39C54B6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При продаже с торгов доли в праве общей собственности, принадлежащей должнику, конкурсный управляющий направляет другим участникам долевой собственности предложение приобрести принадлежащую должнику долю с указанием ее стоимости, равной начальной цене на торгах. При наличии согласия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 </w:t>
      </w:r>
    </w:p>
    <w:p w14:paraId="52B4070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5. Торги по реализации имущества проводятся в электронной форме на электронной торговой площадке – «Лот Банкрот» в сети Интернет на сайте: </w:t>
      </w:r>
      <w:r>
        <w:fldChar w:fldCharType="begin"/>
      </w:r>
      <w:r>
        <w:instrText xml:space="preserve"> HYPERLINK "https://torgi.lot-bankrot.com/" </w:instrText>
      </w:r>
      <w:r>
        <w:fldChar w:fldCharType="separate"/>
      </w:r>
      <w:r>
        <w:rPr>
          <w:rStyle w:val="5"/>
          <w:rFonts w:cs="Times New Roman"/>
          <w:sz w:val="22"/>
        </w:rPr>
        <w:t>https://torgi.lot-bankrot.com/</w:t>
      </w:r>
      <w:r>
        <w:rPr>
          <w:rStyle w:val="5"/>
          <w:rFonts w:cs="Times New Roman"/>
          <w:sz w:val="22"/>
        </w:rPr>
        <w:fldChar w:fldCharType="end"/>
      </w:r>
      <w:r>
        <w:rPr>
          <w:rFonts w:cs="Times New Roman"/>
          <w:sz w:val="22"/>
        </w:rPr>
        <w:t xml:space="preserve"> в соответствии с Приказом Минэкономразвития РФ от 15.02.2010 г. 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55FD6FA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6. Порядок проведения торгов. </w:t>
      </w:r>
    </w:p>
    <w:p w14:paraId="40BFF12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Продажа выставленного на торги Имущества должника осуществляется по наивысшей предложенной цене, при этом цена продажи не может быть ниже начальной цены продажи. </w:t>
      </w:r>
    </w:p>
    <w:p w14:paraId="0044A2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305EF78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3) Величина повышения начальной цены продажи предприятия («шаг аукциона») устанавливается в размере пяти процентов от начальной цены продажи имущества. </w:t>
      </w:r>
    </w:p>
    <w:p w14:paraId="2C1785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6EB0156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</w:t>
      </w:r>
    </w:p>
    <w:p w14:paraId="42E873FB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8.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управляющего внесенный задаток ему не возвращается. </w:t>
      </w:r>
    </w:p>
    <w:p w14:paraId="25CFE95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9. Возврат и удержание задатков. </w:t>
      </w:r>
    </w:p>
    <w:p w14:paraId="6CE5DDE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10C73AD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0F7D57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Претенденту, отозвавшему заявку на участие в торгах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372D307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в) Участникам торгов, не ставшим победителями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4419E781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г) Участникам торгов в случае признания торгов несостоявшимися - суммы внесенных задатков возвращаются в течение пяти рабочих дней с даты принятия Организатором торгов решения об объявлении торгов несостоявшимися. </w:t>
      </w:r>
    </w:p>
    <w:p w14:paraId="076CE0E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D7C476F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уклонения от подписания в установленный настоящим Положением срок договора купли-продажи Имущества; </w:t>
      </w:r>
    </w:p>
    <w:p w14:paraId="5978B20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4296BF0E">
      <w:pPr>
        <w:ind w:firstLine="0"/>
        <w:rPr>
          <w:rFonts w:cs="Times New Roman"/>
          <w:sz w:val="22"/>
        </w:rPr>
      </w:pPr>
    </w:p>
    <w:p w14:paraId="23FD4FD7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6. Оформление Результатов торгов и порядок заключения договора купли-продажи с победителем</w:t>
      </w:r>
    </w:p>
    <w:p w14:paraId="66138C5D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По результатам торгов финансовый управляющий и победитель аукциона (покупатель) заключают в соответствии с законодательством Российской Федерации договор купли-продажи имущества. </w:t>
      </w:r>
    </w:p>
    <w:p w14:paraId="1E82505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Оплата приобретенного на торгах имущества производится не позднее, чем через 30 дней с даты заключения договора, путем перечисления денежных средств расчетный счет Должника. Задаток, внесенный покупателем на специальный счет, засчитывается в оплату приобретаемого имущества. </w:t>
      </w:r>
    </w:p>
    <w:p w14:paraId="2616920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Передача финансовым управляющим имущества и принятие его покупателем осуществляются не позднее чем через 30 (Тридцать) дней после полной оплаты имущества по передаточному акту, подписываемому в соответствии с законодательством Российской Федерации. </w:t>
      </w:r>
    </w:p>
    <w:p w14:paraId="0020248A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 В случае, если победитель уклоняется от заключения или оплаты договора купли-продажи, задаток, оплаченный им для участия в торгах не возвращается, в таком случае финансовый управляющий имеет право предложить заключить договор купли-продажи участнику, предложившему наибольшую цену по сравнению с победителем. </w:t>
      </w:r>
    </w:p>
    <w:p w14:paraId="79F56099">
      <w:pPr>
        <w:pStyle w:val="8"/>
        <w:ind w:left="0"/>
        <w:rPr>
          <w:rFonts w:cs="Times New Roman"/>
          <w:sz w:val="22"/>
        </w:rPr>
      </w:pPr>
    </w:p>
    <w:p w14:paraId="19F86BC2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7. Продажа Имущества Должника на повторных торгах</w:t>
      </w:r>
    </w:p>
    <w:p w14:paraId="4A958DC9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дней с момента признания первых торгов несостоявшимися. </w:t>
      </w:r>
    </w:p>
    <w:p w14:paraId="4860F9D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14DEFFE7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 Повторные торги по продаже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68AD79EC">
      <w:pPr>
        <w:pStyle w:val="8"/>
        <w:ind w:left="0"/>
        <w:rPr>
          <w:rFonts w:cs="Times New Roman"/>
          <w:sz w:val="22"/>
        </w:rPr>
      </w:pPr>
    </w:p>
    <w:p w14:paraId="75F949AD">
      <w:pPr>
        <w:pStyle w:val="8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8. Порядок продажи посредством публичного предложения</w:t>
      </w:r>
    </w:p>
    <w:p w14:paraId="6AC85CC6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 В случае если повторные торги по продаже имущества Должника признаны несостоявшимися, а также в случае если договор купли-продажи, подлежащий заключению по результатам повторных торгов, не был заключен, то такое имущество подлежит реализации посредством публичного предложения. </w:t>
      </w:r>
    </w:p>
    <w:p w14:paraId="741532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 Условия реализации имущества Должника посредством публичного предложения: </w:t>
      </w:r>
    </w:p>
    <w:p w14:paraId="0C65546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При продаже имущества Должника посредством публичного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происходит последовательное снижение начальной продажной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длительностью 5 (пять) дней. Порог отсечения снижения начальной цены продажи Имущества –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hint="default" w:cs="Times New Roman"/>
          <w:sz w:val="22"/>
          <w:lang w:val="ru-RU"/>
        </w:rPr>
        <w:t>1</w:t>
      </w:r>
      <w:r>
        <w:rPr>
          <w:rFonts w:cs="Times New Roman"/>
          <w:sz w:val="22"/>
        </w:rPr>
        <w:t>% от начальной цены реализации имущества, финансовый управляющий обязан предложить принять имущество 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7208AC3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171E7ED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6F28407C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максимальную цену.</w:t>
      </w:r>
    </w:p>
    <w:p w14:paraId="20F386A2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3A2334DE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3381DDB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через 10 дней с даты определения победителя торгов, подписывают договор купли-продажи имущества.</w:t>
      </w:r>
    </w:p>
    <w:p w14:paraId="0D1EC1F7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1974A184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Покупатель 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7AD901F9">
      <w:pPr>
        <w:pStyle w:val="8"/>
        <w:numPr>
          <w:ilvl w:val="0"/>
          <w:numId w:val="1"/>
        </w:numPr>
        <w:ind w:left="142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6D15ECD8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7. Все расходы, связанные с переоформлением прав собственности на Имущество Должника, подлежащего реализации в соответствии с условиями настоящего Положения, возлагаются на покупателя. </w:t>
      </w:r>
    </w:p>
    <w:p w14:paraId="2E419A04">
      <w:pPr>
        <w:pStyle w:val="8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8. Вопросы, не урегулированные настоящим Положением, решаются в соответствии с законодательством Российской Федерации».</w:t>
      </w:r>
    </w:p>
    <w:p w14:paraId="3A6D6994">
      <w:pPr>
        <w:pStyle w:val="8"/>
        <w:ind w:left="0"/>
        <w:rPr>
          <w:rFonts w:cs="Times New Roman"/>
          <w:sz w:val="22"/>
        </w:rPr>
      </w:pPr>
    </w:p>
    <w:p w14:paraId="146786BF">
      <w:pPr>
        <w:pStyle w:val="8"/>
        <w:ind w:left="0"/>
        <w:rPr>
          <w:rStyle w:val="4"/>
          <w:rFonts w:cs="Times New Roman"/>
          <w:b/>
          <w:i w:val="0"/>
          <w:sz w:val="22"/>
        </w:rPr>
      </w:pPr>
      <w:r>
        <w:rPr>
          <w:rFonts w:cs="Times New Roman"/>
          <w:sz w:val="22"/>
        </w:rPr>
        <w:t>Финансовый управляющий ____________________ / Кубрак Е.А./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926010"/>
    <w:multiLevelType w:val="multilevel"/>
    <w:tmpl w:val="39926010"/>
    <w:lvl w:ilvl="0" w:tentative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A79"/>
    <w:rsid w:val="00051844"/>
    <w:rsid w:val="00087092"/>
    <w:rsid w:val="000C1D46"/>
    <w:rsid w:val="000E49AC"/>
    <w:rsid w:val="000F3CB8"/>
    <w:rsid w:val="000F7A38"/>
    <w:rsid w:val="001166E5"/>
    <w:rsid w:val="001705B9"/>
    <w:rsid w:val="001D28C4"/>
    <w:rsid w:val="001F196D"/>
    <w:rsid w:val="001F3ED0"/>
    <w:rsid w:val="002104D0"/>
    <w:rsid w:val="002149DE"/>
    <w:rsid w:val="002363E8"/>
    <w:rsid w:val="00254308"/>
    <w:rsid w:val="002561FD"/>
    <w:rsid w:val="00260B6A"/>
    <w:rsid w:val="00274FA7"/>
    <w:rsid w:val="00292FD9"/>
    <w:rsid w:val="00297C30"/>
    <w:rsid w:val="00306093"/>
    <w:rsid w:val="0031131D"/>
    <w:rsid w:val="00312ECB"/>
    <w:rsid w:val="00313719"/>
    <w:rsid w:val="003208C6"/>
    <w:rsid w:val="003219D5"/>
    <w:rsid w:val="00322A3A"/>
    <w:rsid w:val="003422EF"/>
    <w:rsid w:val="00345531"/>
    <w:rsid w:val="00350C30"/>
    <w:rsid w:val="003577BB"/>
    <w:rsid w:val="003654C4"/>
    <w:rsid w:val="003D528C"/>
    <w:rsid w:val="00426CC4"/>
    <w:rsid w:val="00437766"/>
    <w:rsid w:val="00437799"/>
    <w:rsid w:val="004450B7"/>
    <w:rsid w:val="004548BB"/>
    <w:rsid w:val="00456A79"/>
    <w:rsid w:val="004678D9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A6CDE"/>
    <w:rsid w:val="005B477A"/>
    <w:rsid w:val="005C2532"/>
    <w:rsid w:val="005C4AA8"/>
    <w:rsid w:val="005C720E"/>
    <w:rsid w:val="005D4C00"/>
    <w:rsid w:val="005E21E5"/>
    <w:rsid w:val="005F39D9"/>
    <w:rsid w:val="00614140"/>
    <w:rsid w:val="00656F1A"/>
    <w:rsid w:val="006813F8"/>
    <w:rsid w:val="00692E1A"/>
    <w:rsid w:val="006D030A"/>
    <w:rsid w:val="006E5AFE"/>
    <w:rsid w:val="006F5D57"/>
    <w:rsid w:val="00706290"/>
    <w:rsid w:val="00737AC5"/>
    <w:rsid w:val="007D4BFB"/>
    <w:rsid w:val="007F58D7"/>
    <w:rsid w:val="00804DC3"/>
    <w:rsid w:val="00874CED"/>
    <w:rsid w:val="008816CF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D2C89"/>
    <w:rsid w:val="009D508D"/>
    <w:rsid w:val="009F1D12"/>
    <w:rsid w:val="00A02A09"/>
    <w:rsid w:val="00A356B3"/>
    <w:rsid w:val="00A7278C"/>
    <w:rsid w:val="00A92EF9"/>
    <w:rsid w:val="00AA6079"/>
    <w:rsid w:val="00AB441A"/>
    <w:rsid w:val="00AC6B4C"/>
    <w:rsid w:val="00AE1EEF"/>
    <w:rsid w:val="00AF2D6C"/>
    <w:rsid w:val="00B52A0D"/>
    <w:rsid w:val="00B718E2"/>
    <w:rsid w:val="00B85DC1"/>
    <w:rsid w:val="00BD79DD"/>
    <w:rsid w:val="00BE7984"/>
    <w:rsid w:val="00C021BB"/>
    <w:rsid w:val="00C122DB"/>
    <w:rsid w:val="00C2690C"/>
    <w:rsid w:val="00C337F1"/>
    <w:rsid w:val="00C353E9"/>
    <w:rsid w:val="00C75D61"/>
    <w:rsid w:val="00C87464"/>
    <w:rsid w:val="00CC7525"/>
    <w:rsid w:val="00CC756B"/>
    <w:rsid w:val="00D17C81"/>
    <w:rsid w:val="00D61BB1"/>
    <w:rsid w:val="00D72C88"/>
    <w:rsid w:val="00D7455D"/>
    <w:rsid w:val="00D961FC"/>
    <w:rsid w:val="00DB6F7F"/>
    <w:rsid w:val="00DC0C8D"/>
    <w:rsid w:val="00DD1D20"/>
    <w:rsid w:val="00DD1DF6"/>
    <w:rsid w:val="00DF7A56"/>
    <w:rsid w:val="00E03F90"/>
    <w:rsid w:val="00E11260"/>
    <w:rsid w:val="00E2450E"/>
    <w:rsid w:val="00E27212"/>
    <w:rsid w:val="00E80EE9"/>
    <w:rsid w:val="00EF3164"/>
    <w:rsid w:val="00F11192"/>
    <w:rsid w:val="00F369C8"/>
    <w:rsid w:val="00F462B3"/>
    <w:rsid w:val="00F535FD"/>
    <w:rsid w:val="00F744D2"/>
    <w:rsid w:val="00F90734"/>
    <w:rsid w:val="00F95833"/>
    <w:rsid w:val="00FB0F39"/>
    <w:rsid w:val="00FB4EFC"/>
    <w:rsid w:val="00FD185E"/>
    <w:rsid w:val="00FD6A8E"/>
    <w:rsid w:val="00FF24D8"/>
    <w:rsid w:val="03395ED0"/>
    <w:rsid w:val="08093668"/>
    <w:rsid w:val="1BAC7179"/>
    <w:rsid w:val="1FDA6EAB"/>
    <w:rsid w:val="295352FF"/>
    <w:rsid w:val="3ED84F57"/>
    <w:rsid w:val="45CF4E6C"/>
    <w:rsid w:val="60EF69A4"/>
    <w:rsid w:val="63424ECB"/>
    <w:rsid w:val="73FC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  <w:ind w:firstLine="709"/>
      <w:jc w:val="both"/>
    </w:pPr>
    <w:rPr>
      <w:rFonts w:ascii="Times New Roman" w:hAnsi="Times New Roman" w:eastAsiaTheme="minorHAnsi" w:cstheme="minorBidi"/>
      <w:sz w:val="24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9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0">
    <w:name w:val="indent"/>
    <w:basedOn w:val="1"/>
    <w:qFormat/>
    <w:uiPriority w:val="0"/>
    <w:pPr>
      <w:spacing w:before="240" w:after="240"/>
      <w:ind w:firstLine="708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3647</Words>
  <Characters>20791</Characters>
  <Lines>173</Lines>
  <Paragraphs>48</Paragraphs>
  <TotalTime>1</TotalTime>
  <ScaleCrop>false</ScaleCrop>
  <LinksUpToDate>false</LinksUpToDate>
  <CharactersWithSpaces>24390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2022-03-21T05:39:00Z</dcterms:created>
  <dc:creator>sale_1</dc:creator>
  <cp:lastModifiedBy>User</cp:lastModifiedBy>
  <cp:lastPrinted>2025-10-23T06:31:00Z</cp:lastPrinted>
  <dcterms:modified xsi:type="dcterms:W3CDTF">2026-03-30T10:52:41Z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38F75313F37E4F9784C218D04D4828A9_13</vt:lpwstr>
  </property>
</Properties>
</file>