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E43DA9">
      <w:pPr>
        <w:jc w:val="right"/>
        <w:rPr>
          <w:rStyle w:val="4"/>
          <w:rFonts w:cs="Times New Roman"/>
          <w:i w:val="0"/>
          <w:sz w:val="22"/>
          <w:szCs w:val="22"/>
        </w:rPr>
      </w:pPr>
      <w:r>
        <w:rPr>
          <w:rStyle w:val="4"/>
          <w:rFonts w:cs="Times New Roman"/>
          <w:i w:val="0"/>
          <w:sz w:val="22"/>
          <w:szCs w:val="22"/>
        </w:rPr>
        <w:t>УТВЕРЖДЕНО</w:t>
      </w:r>
    </w:p>
    <w:p w14:paraId="0DE0162F">
      <w:pPr>
        <w:jc w:val="right"/>
        <w:rPr>
          <w:rStyle w:val="4"/>
          <w:rFonts w:hint="default" w:cs="Times New Roman"/>
          <w:i w:val="0"/>
          <w:sz w:val="22"/>
          <w:szCs w:val="22"/>
          <w:lang w:val="ru-RU"/>
        </w:rPr>
      </w:pPr>
      <w:r>
        <w:rPr>
          <w:rStyle w:val="4"/>
          <w:rFonts w:cs="Times New Roman"/>
          <w:i w:val="0"/>
          <w:sz w:val="22"/>
          <w:szCs w:val="22"/>
          <w:lang w:val="ru-RU"/>
        </w:rPr>
        <w:t>Собранием</w:t>
      </w:r>
      <w:r>
        <w:rPr>
          <w:rStyle w:val="4"/>
          <w:rFonts w:hint="default" w:cs="Times New Roman"/>
          <w:i w:val="0"/>
          <w:sz w:val="22"/>
          <w:szCs w:val="22"/>
          <w:lang w:val="ru-RU"/>
        </w:rPr>
        <w:t xml:space="preserve"> кредиторов </w:t>
      </w:r>
    </w:p>
    <w:p w14:paraId="4E3F2B4C">
      <w:pPr>
        <w:jc w:val="right"/>
        <w:rPr>
          <w:rStyle w:val="4"/>
          <w:rFonts w:cs="Times New Roman"/>
          <w:i w:val="0"/>
          <w:sz w:val="22"/>
          <w:szCs w:val="22"/>
        </w:rPr>
      </w:pPr>
      <w:r>
        <w:rPr>
          <w:rStyle w:val="4"/>
          <w:rFonts w:cs="Times New Roman"/>
          <w:i w:val="0"/>
          <w:sz w:val="22"/>
          <w:szCs w:val="22"/>
        </w:rPr>
        <w:t>«__» __________ 202</w:t>
      </w:r>
      <w:r>
        <w:rPr>
          <w:rStyle w:val="4"/>
          <w:rFonts w:hint="default" w:cs="Times New Roman"/>
          <w:i w:val="0"/>
          <w:sz w:val="22"/>
          <w:szCs w:val="22"/>
          <w:lang w:val="ru-RU"/>
        </w:rPr>
        <w:t>5</w:t>
      </w:r>
      <w:r>
        <w:rPr>
          <w:rStyle w:val="4"/>
          <w:rFonts w:cs="Times New Roman"/>
          <w:i w:val="0"/>
          <w:sz w:val="22"/>
          <w:szCs w:val="22"/>
        </w:rPr>
        <w:t>г.</w:t>
      </w:r>
    </w:p>
    <w:p w14:paraId="436784EF">
      <w:pPr>
        <w:jc w:val="right"/>
        <w:rPr>
          <w:rStyle w:val="4"/>
          <w:rFonts w:hint="default" w:cs="Times New Roman"/>
          <w:i w:val="0"/>
          <w:sz w:val="22"/>
          <w:szCs w:val="22"/>
          <w:lang w:val="ru-RU"/>
        </w:rPr>
      </w:pPr>
      <w:r>
        <w:rPr>
          <w:rStyle w:val="4"/>
          <w:rFonts w:cs="Times New Roman"/>
          <w:i w:val="0"/>
          <w:sz w:val="22"/>
          <w:szCs w:val="22"/>
        </w:rPr>
        <w:t xml:space="preserve">По делу № </w:t>
      </w:r>
      <w:r>
        <w:rPr>
          <w:rStyle w:val="4"/>
          <w:rFonts w:hint="default" w:cs="Times New Roman"/>
          <w:i w:val="0"/>
          <w:sz w:val="22"/>
          <w:szCs w:val="22"/>
          <w:lang w:val="ru-RU"/>
        </w:rPr>
        <w:t>А33-38820/2024</w:t>
      </w:r>
    </w:p>
    <w:p w14:paraId="75E77A56">
      <w:pPr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Положение </w:t>
      </w:r>
    </w:p>
    <w:p w14:paraId="75036213">
      <w:pPr>
        <w:jc w:val="center"/>
        <w:rPr>
          <w:rFonts w:cs="Times New Roman"/>
          <w:b/>
          <w:color w:val="FF0000"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о порядке, условиях и сроках реализации имущества гражданина </w:t>
      </w:r>
    </w:p>
    <w:p w14:paraId="2DC1B3D0">
      <w:pPr>
        <w:pStyle w:val="8"/>
        <w:ind w:left="0"/>
        <w:jc w:val="center"/>
        <w:rPr>
          <w:rFonts w:hint="default"/>
          <w:b/>
          <w:bCs/>
          <w:sz w:val="22"/>
          <w:szCs w:val="22"/>
          <w:lang w:val="ru-RU"/>
        </w:rPr>
      </w:pPr>
      <w:r>
        <w:rPr>
          <w:b/>
          <w:bCs/>
          <w:sz w:val="22"/>
          <w:szCs w:val="22"/>
          <w:lang w:val="ru-RU"/>
        </w:rPr>
        <w:t>Карповой</w:t>
      </w:r>
      <w:r>
        <w:rPr>
          <w:rFonts w:hint="default"/>
          <w:b/>
          <w:bCs/>
          <w:sz w:val="22"/>
          <w:szCs w:val="22"/>
          <w:lang w:val="ru-RU"/>
        </w:rPr>
        <w:t xml:space="preserve"> Кристины Евгеньевны </w:t>
      </w:r>
    </w:p>
    <w:p w14:paraId="4CAEED0F">
      <w:pPr>
        <w:pStyle w:val="8"/>
        <w:ind w:left="0"/>
        <w:jc w:val="center"/>
        <w:rPr>
          <w:rFonts w:hint="default"/>
          <w:b/>
          <w:bCs/>
          <w:sz w:val="22"/>
          <w:szCs w:val="22"/>
          <w:lang w:val="ru-RU"/>
        </w:rPr>
      </w:pPr>
    </w:p>
    <w:p w14:paraId="31031359">
      <w:pPr>
        <w:pStyle w:val="8"/>
        <w:ind w:left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В тексте настоящего Положения о порядке продажи имущества применяются следующие определения и сокращения: </w:t>
      </w:r>
    </w:p>
    <w:p w14:paraId="4165121C">
      <w:pPr>
        <w:pStyle w:val="8"/>
        <w:ind w:left="0"/>
        <w:rPr>
          <w:rFonts w:cs="Times New Roman"/>
          <w:sz w:val="22"/>
          <w:szCs w:val="22"/>
        </w:rPr>
      </w:pPr>
      <w:r>
        <w:rPr>
          <w:rFonts w:cs="Times New Roman"/>
          <w:b/>
          <w:i/>
          <w:sz w:val="22"/>
          <w:szCs w:val="22"/>
        </w:rPr>
        <w:t>Должник</w:t>
      </w:r>
      <w:r>
        <w:rPr>
          <w:rFonts w:cs="Times New Roman"/>
          <w:sz w:val="22"/>
          <w:szCs w:val="22"/>
        </w:rPr>
        <w:t xml:space="preserve"> – гражданин </w:t>
      </w:r>
      <w:bookmarkStart w:id="0" w:name="_GoBack"/>
      <w:r>
        <w:rPr>
          <w:rFonts w:cs="Times New Roman"/>
          <w:sz w:val="22"/>
          <w:szCs w:val="22"/>
          <w:lang w:val="ru-RU"/>
        </w:rPr>
        <w:t>Карпова</w:t>
      </w:r>
      <w:r>
        <w:rPr>
          <w:rFonts w:hint="default" w:cs="Times New Roman"/>
          <w:sz w:val="22"/>
          <w:szCs w:val="22"/>
          <w:lang w:val="ru-RU"/>
        </w:rPr>
        <w:t xml:space="preserve"> Кристина Евгеньевна</w:t>
      </w:r>
      <w:r>
        <w:rPr>
          <w:rFonts w:cs="Times New Roman"/>
          <w:sz w:val="22"/>
          <w:szCs w:val="22"/>
        </w:rPr>
        <w:t xml:space="preserve"> (</w:t>
      </w:r>
      <w:r>
        <w:rPr>
          <w:sz w:val="22"/>
          <w:szCs w:val="21"/>
        </w:rPr>
        <w:t>26.05.2002 г.р., ИНН 246410927320, СНИЛС 196-327-338-10, адрес регистрации Россия 660043, г.Красноярск, Красноярский край, ул. Чернышевского 104-100</w:t>
      </w:r>
      <w:r>
        <w:rPr>
          <w:rFonts w:cs="Times New Roman"/>
          <w:sz w:val="22"/>
          <w:szCs w:val="22"/>
        </w:rPr>
        <w:t>)</w:t>
      </w:r>
      <w:bookmarkEnd w:id="0"/>
      <w:r>
        <w:rPr>
          <w:rFonts w:cs="Times New Roman"/>
          <w:sz w:val="22"/>
          <w:szCs w:val="22"/>
        </w:rPr>
        <w:t xml:space="preserve"> признан</w:t>
      </w:r>
      <w:r>
        <w:rPr>
          <w:rFonts w:cs="Times New Roman"/>
          <w:sz w:val="22"/>
          <w:szCs w:val="22"/>
          <w:lang w:val="ru-RU"/>
        </w:rPr>
        <w:t>а</w:t>
      </w:r>
      <w:r>
        <w:rPr>
          <w:rFonts w:cs="Times New Roman"/>
          <w:sz w:val="22"/>
          <w:szCs w:val="22"/>
        </w:rPr>
        <w:t xml:space="preserve"> несостоятельн</w:t>
      </w:r>
      <w:r>
        <w:rPr>
          <w:rFonts w:cs="Times New Roman"/>
          <w:sz w:val="22"/>
          <w:szCs w:val="22"/>
          <w:lang w:val="ru-RU"/>
        </w:rPr>
        <w:t>ой</w:t>
      </w:r>
      <w:r>
        <w:rPr>
          <w:rFonts w:cs="Times New Roman"/>
          <w:sz w:val="22"/>
          <w:szCs w:val="22"/>
        </w:rPr>
        <w:t xml:space="preserve"> (банкротом) </w:t>
      </w:r>
      <w:r>
        <w:rPr>
          <w:rFonts w:cs="Times New Roman"/>
          <w:sz w:val="22"/>
          <w:szCs w:val="22"/>
          <w:lang w:val="ru-RU"/>
        </w:rPr>
        <w:t>Р</w:t>
      </w:r>
      <w:r>
        <w:rPr>
          <w:rFonts w:cs="Times New Roman"/>
          <w:sz w:val="22"/>
          <w:szCs w:val="22"/>
        </w:rPr>
        <w:t xml:space="preserve">ешением Арбитражного суда </w:t>
      </w:r>
      <w:r>
        <w:rPr>
          <w:rFonts w:cs="Times New Roman"/>
          <w:sz w:val="22"/>
          <w:szCs w:val="22"/>
          <w:lang w:val="ru-RU"/>
        </w:rPr>
        <w:t>Красноярского</w:t>
      </w:r>
      <w:r>
        <w:rPr>
          <w:rFonts w:hint="default" w:cs="Times New Roman"/>
          <w:sz w:val="22"/>
          <w:szCs w:val="22"/>
          <w:lang w:val="ru-RU"/>
        </w:rPr>
        <w:t xml:space="preserve"> края</w:t>
      </w:r>
      <w:r>
        <w:rPr>
          <w:rFonts w:cs="Times New Roman"/>
          <w:sz w:val="22"/>
          <w:szCs w:val="22"/>
        </w:rPr>
        <w:t xml:space="preserve"> от </w:t>
      </w:r>
      <w:r>
        <w:rPr>
          <w:rFonts w:hint="default" w:cs="Times New Roman"/>
          <w:sz w:val="22"/>
          <w:szCs w:val="22"/>
          <w:lang w:val="ru-RU"/>
        </w:rPr>
        <w:t>20</w:t>
      </w:r>
      <w:r>
        <w:rPr>
          <w:rFonts w:cs="Times New Roman"/>
          <w:sz w:val="22"/>
          <w:szCs w:val="22"/>
        </w:rPr>
        <w:t>.</w:t>
      </w:r>
      <w:r>
        <w:rPr>
          <w:rFonts w:hint="default" w:cs="Times New Roman"/>
          <w:sz w:val="22"/>
          <w:szCs w:val="22"/>
          <w:lang w:val="ru-RU"/>
        </w:rPr>
        <w:t>03</w:t>
      </w:r>
      <w:r>
        <w:rPr>
          <w:rFonts w:cs="Times New Roman"/>
          <w:sz w:val="22"/>
          <w:szCs w:val="22"/>
        </w:rPr>
        <w:t>.202</w:t>
      </w:r>
      <w:r>
        <w:rPr>
          <w:rFonts w:hint="default" w:cs="Times New Roman"/>
          <w:sz w:val="22"/>
          <w:szCs w:val="22"/>
          <w:lang w:val="ru-RU"/>
        </w:rPr>
        <w:t>5</w:t>
      </w:r>
      <w:r>
        <w:rPr>
          <w:rFonts w:cs="Times New Roman"/>
          <w:sz w:val="22"/>
          <w:szCs w:val="22"/>
        </w:rPr>
        <w:t xml:space="preserve"> по делу № А</w:t>
      </w:r>
      <w:r>
        <w:rPr>
          <w:rFonts w:hint="default" w:cs="Times New Roman"/>
          <w:sz w:val="22"/>
          <w:szCs w:val="22"/>
          <w:lang w:val="ru-RU"/>
        </w:rPr>
        <w:t>33</w:t>
      </w:r>
      <w:r>
        <w:rPr>
          <w:rFonts w:cs="Times New Roman"/>
          <w:sz w:val="22"/>
          <w:szCs w:val="22"/>
        </w:rPr>
        <w:t>-</w:t>
      </w:r>
      <w:r>
        <w:rPr>
          <w:rFonts w:hint="default" w:cs="Times New Roman"/>
          <w:sz w:val="22"/>
          <w:szCs w:val="22"/>
          <w:lang w:val="ru-RU"/>
        </w:rPr>
        <w:t>38820</w:t>
      </w:r>
      <w:r>
        <w:rPr>
          <w:rFonts w:cs="Times New Roman"/>
          <w:sz w:val="22"/>
          <w:szCs w:val="22"/>
        </w:rPr>
        <w:t>/202</w:t>
      </w:r>
      <w:r>
        <w:rPr>
          <w:rFonts w:hint="default" w:cs="Times New Roman"/>
          <w:sz w:val="22"/>
          <w:szCs w:val="22"/>
          <w:lang w:val="ru-RU"/>
        </w:rPr>
        <w:t>4</w:t>
      </w:r>
      <w:r>
        <w:rPr>
          <w:rFonts w:cs="Times New Roman"/>
          <w:sz w:val="22"/>
          <w:szCs w:val="22"/>
        </w:rPr>
        <w:t xml:space="preserve"> и в отношении не</w:t>
      </w:r>
      <w:r>
        <w:rPr>
          <w:rFonts w:cs="Times New Roman"/>
          <w:sz w:val="22"/>
          <w:szCs w:val="22"/>
          <w:lang w:val="ru-RU"/>
        </w:rPr>
        <w:t>е</w:t>
      </w:r>
      <w:r>
        <w:rPr>
          <w:rFonts w:cs="Times New Roman"/>
          <w:sz w:val="22"/>
          <w:szCs w:val="22"/>
        </w:rPr>
        <w:t xml:space="preserve"> введена процедура реализации имущества. </w:t>
      </w:r>
    </w:p>
    <w:p w14:paraId="1F9F39F3">
      <w:pPr>
        <w:pStyle w:val="8"/>
        <w:ind w:left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Финансовым управляющим утверждена Кубрак Екатерина Александровна (регистрационный номер в сводном государственном реестре арбитражных управляющих № 22308, ИНН 246417014946, адрес для направления корреспонденции – 660049, Красноярский край, г. Красноярск, ул. Урицкого, д. 61, оф. 3-19), члена Союза «Саморегулируемая организация «Гильдия арбитражных управляющих» (420034, Республика Татарстан, г. Казань, ул. Соловецких юнг, д. 7, оф. 1004; ОГРН 1021603626098, ИНН 1660062005)</w:t>
      </w:r>
    </w:p>
    <w:p w14:paraId="3B03C7D1">
      <w:pPr>
        <w:pStyle w:val="8"/>
        <w:ind w:left="0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>Информационное сообщение</w:t>
      </w:r>
      <w:r>
        <w:rPr>
          <w:rFonts w:cs="Times New Roman"/>
          <w:sz w:val="22"/>
          <w:szCs w:val="22"/>
        </w:rPr>
        <w:t xml:space="preserve"> – сообщение о продаже Имущества должника, включенное в Единый федеральный реестр сведений о банкротстве согласно требованиям Федерального закона №127- ФЗ от 26.10.2002г. «О несостоятельности (банкротстве). </w:t>
      </w:r>
    </w:p>
    <w:p w14:paraId="4CB7AAED">
      <w:pPr>
        <w:pStyle w:val="8"/>
        <w:ind w:left="0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>Организатор торгов</w:t>
      </w:r>
      <w:r>
        <w:rPr>
          <w:rFonts w:cs="Times New Roman"/>
          <w:sz w:val="22"/>
          <w:szCs w:val="22"/>
        </w:rPr>
        <w:t xml:space="preserve"> – финансовый управляющий. </w:t>
      </w:r>
    </w:p>
    <w:p w14:paraId="269123BF">
      <w:pPr>
        <w:pStyle w:val="8"/>
        <w:ind w:left="0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>День проведения торгов</w:t>
      </w:r>
      <w:r>
        <w:rPr>
          <w:rFonts w:cs="Times New Roman"/>
          <w:sz w:val="22"/>
          <w:szCs w:val="22"/>
        </w:rPr>
        <w:t xml:space="preserve"> – день, в течение которого проводятся торги по продаже Имущества и подводятся итоги проведенных торгов. </w:t>
      </w:r>
    </w:p>
    <w:p w14:paraId="7FF10811">
      <w:pPr>
        <w:pStyle w:val="8"/>
        <w:ind w:left="0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>Имущество Должника / Имущество</w:t>
      </w:r>
      <w:r>
        <w:rPr>
          <w:rFonts w:cs="Times New Roman"/>
          <w:sz w:val="22"/>
          <w:szCs w:val="22"/>
        </w:rPr>
        <w:t xml:space="preserve"> </w:t>
      </w:r>
    </w:p>
    <w:p w14:paraId="434F7854">
      <w:pPr>
        <w:pStyle w:val="10"/>
        <w:spacing w:before="0" w:after="0"/>
        <w:ind w:firstLine="709"/>
        <w:rPr>
          <w:rFonts w:hint="default"/>
          <w:b/>
          <w:sz w:val="22"/>
          <w:szCs w:val="22"/>
          <w:lang w:val="ru-RU"/>
        </w:rPr>
      </w:pPr>
      <w:r>
        <w:rPr>
          <w:rFonts w:cs="Times New Roman"/>
          <w:sz w:val="22"/>
          <w:szCs w:val="22"/>
        </w:rPr>
        <w:t xml:space="preserve">Лот № 1 – </w:t>
      </w:r>
      <w:r>
        <w:rPr>
          <w:rFonts w:hint="default"/>
          <w:sz w:val="22"/>
          <w:szCs w:val="22"/>
          <w:lang w:val="ru-RU"/>
        </w:rPr>
        <w:t>1/2 доля в праве общей долевой собственности на жилое помещение, расположенное по адресу: г. Красноярск, ул. Курчатова, д. 6, кв. 196. Площадь: 16, 5 кв.м. Кадастровый номер: 24:50:0000000:49705</w:t>
      </w:r>
    </w:p>
    <w:p w14:paraId="20309778">
      <w:pPr>
        <w:pStyle w:val="8"/>
        <w:ind w:left="0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>Предмет торгов</w:t>
      </w:r>
      <w:r>
        <w:rPr>
          <w:rFonts w:cs="Times New Roman"/>
          <w:sz w:val="22"/>
          <w:szCs w:val="22"/>
        </w:rPr>
        <w:t xml:space="preserve"> – выставленное на продажу имущество должника. </w:t>
      </w:r>
    </w:p>
    <w:p w14:paraId="25FB5F10">
      <w:pPr>
        <w:pStyle w:val="8"/>
        <w:ind w:left="0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>Заявитель</w:t>
      </w:r>
      <w:r>
        <w:rPr>
          <w:rFonts w:cs="Times New Roman"/>
          <w:sz w:val="22"/>
          <w:szCs w:val="22"/>
        </w:rPr>
        <w:t xml:space="preserve"> – лицо, подающее Организатору торгов заявку на участие в торгах (далее по тексту – «Заявка») и прилагаемые к ней документы, перечень которых предусмотрен настоящим Положением. </w:t>
      </w:r>
    </w:p>
    <w:p w14:paraId="7C673B4F">
      <w:pPr>
        <w:pStyle w:val="8"/>
        <w:ind w:left="0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>Претендент</w:t>
      </w:r>
      <w:r>
        <w:rPr>
          <w:rFonts w:cs="Times New Roman"/>
          <w:sz w:val="22"/>
          <w:szCs w:val="22"/>
        </w:rPr>
        <w:t xml:space="preserve"> – лицо, подавшее заявку на участие в торгах по продаже Имущества. </w:t>
      </w:r>
    </w:p>
    <w:p w14:paraId="62E72D6B">
      <w:pPr>
        <w:pStyle w:val="8"/>
        <w:ind w:left="0"/>
        <w:rPr>
          <w:rFonts w:cs="Times New Roman"/>
          <w:sz w:val="22"/>
          <w:szCs w:val="22"/>
        </w:rPr>
      </w:pPr>
      <w:r>
        <w:rPr>
          <w:rFonts w:cs="Times New Roman"/>
          <w:b/>
          <w:i/>
          <w:sz w:val="22"/>
          <w:szCs w:val="22"/>
        </w:rPr>
        <w:t>Задаток</w:t>
      </w:r>
      <w:r>
        <w:rPr>
          <w:rFonts w:cs="Times New Roman"/>
          <w:sz w:val="22"/>
          <w:szCs w:val="22"/>
        </w:rPr>
        <w:t xml:space="preserve"> – сумма денежных средств, перечисленная на основной счет Должника или на расчетный счет Организатора торгов лицом, желающим участвовать в торгах, в обеспечение исполнения будущего обязательства по оплате приобретенного Имущества. Размер задатка на всех торгах устанавливается в размере 20% начальной цены продажи имущества. </w:t>
      </w:r>
    </w:p>
    <w:p w14:paraId="7624CA0A">
      <w:pPr>
        <w:pStyle w:val="8"/>
        <w:ind w:left="0"/>
        <w:rPr>
          <w:rFonts w:cs="Times New Roman"/>
          <w:sz w:val="22"/>
          <w:szCs w:val="22"/>
        </w:rPr>
      </w:pPr>
      <w:r>
        <w:rPr>
          <w:rFonts w:cs="Times New Roman"/>
          <w:b/>
          <w:i/>
          <w:sz w:val="22"/>
          <w:szCs w:val="22"/>
        </w:rPr>
        <w:t>Участник торгов/участник</w:t>
      </w:r>
      <w:r>
        <w:rPr>
          <w:rFonts w:cs="Times New Roman"/>
          <w:sz w:val="22"/>
          <w:szCs w:val="22"/>
        </w:rPr>
        <w:t xml:space="preserve"> – претендент, допущенный Организатором торгов к участию в торгах по продаже Имущества Должника. </w:t>
      </w:r>
    </w:p>
    <w:p w14:paraId="4D2A5356">
      <w:pPr>
        <w:pStyle w:val="8"/>
        <w:ind w:left="0"/>
        <w:rPr>
          <w:rFonts w:cs="Times New Roman"/>
          <w:sz w:val="22"/>
          <w:szCs w:val="22"/>
        </w:rPr>
      </w:pPr>
      <w:r>
        <w:rPr>
          <w:rFonts w:cs="Times New Roman"/>
          <w:b/>
          <w:i/>
          <w:sz w:val="22"/>
          <w:szCs w:val="22"/>
        </w:rPr>
        <w:t>Начальная цена продажи Имущества / начальная цена</w:t>
      </w:r>
      <w:r>
        <w:rPr>
          <w:rFonts w:cs="Times New Roman"/>
          <w:sz w:val="22"/>
          <w:szCs w:val="22"/>
        </w:rPr>
        <w:t xml:space="preserve"> – цена продажи Имущества, с которой начинаются торги, определяемая в соответствии с Федеральным законом от 26.10.2002 г. № 127-ФЗ «О несостоятельности (банкротстве)» и настоящим Положением. </w:t>
      </w:r>
    </w:p>
    <w:p w14:paraId="78916BA2">
      <w:pPr>
        <w:pStyle w:val="8"/>
        <w:ind w:left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Начальная цена продажи при продаже Имущества Должника устанавливается в сумме:  </w:t>
      </w:r>
    </w:p>
    <w:p w14:paraId="4539C7FD">
      <w:pPr>
        <w:pStyle w:val="8"/>
        <w:ind w:left="0"/>
        <w:rPr>
          <w:rFonts w:hint="default"/>
          <w:sz w:val="22"/>
          <w:szCs w:val="22"/>
          <w:lang w:val="ru-RU"/>
        </w:rPr>
      </w:pPr>
      <w:r>
        <w:rPr>
          <w:rFonts w:cs="Times New Roman"/>
          <w:sz w:val="22"/>
          <w:szCs w:val="22"/>
          <w:lang w:val="ru-RU"/>
        </w:rPr>
        <w:t>Лот</w:t>
      </w:r>
      <w:r>
        <w:rPr>
          <w:rFonts w:hint="default" w:cs="Times New Roman"/>
          <w:sz w:val="22"/>
          <w:szCs w:val="22"/>
          <w:lang w:val="ru-RU"/>
        </w:rPr>
        <w:t xml:space="preserve"> № 1 - </w:t>
      </w:r>
      <w:r>
        <w:rPr>
          <w:rFonts w:hint="default"/>
          <w:sz w:val="22"/>
          <w:szCs w:val="22"/>
          <w:lang w:val="ru-RU"/>
        </w:rPr>
        <w:t xml:space="preserve">955 302 (девятьсот пятьдесят пять тысяч триста два) рубля 15 копеек. </w:t>
      </w:r>
    </w:p>
    <w:p w14:paraId="39C8AC64">
      <w:pPr>
        <w:pStyle w:val="8"/>
        <w:ind w:left="0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>Победитель торгов</w:t>
      </w:r>
      <w:r>
        <w:rPr>
          <w:rFonts w:cs="Times New Roman"/>
          <w:sz w:val="22"/>
          <w:szCs w:val="22"/>
        </w:rPr>
        <w:t xml:space="preserve"> – Претендент, признанный победителем по результатам подведения итогов торгов по продаже Имущества Должника. </w:t>
      </w:r>
    </w:p>
    <w:p w14:paraId="4ECB1A37">
      <w:pPr>
        <w:pStyle w:val="8"/>
        <w:ind w:left="0"/>
        <w:rPr>
          <w:rFonts w:cs="Times New Roman"/>
          <w:sz w:val="22"/>
          <w:szCs w:val="22"/>
        </w:rPr>
      </w:pPr>
    </w:p>
    <w:p w14:paraId="3702D072">
      <w:pPr>
        <w:pStyle w:val="8"/>
        <w:ind w:left="0"/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1. Общие положения</w:t>
      </w:r>
    </w:p>
    <w:p w14:paraId="49DF1725">
      <w:pPr>
        <w:pStyle w:val="8"/>
        <w:ind w:left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1.1. Настоящее Положение о порядке, условиях и сроках реализации Имущества Должника составлено в соответствии с требованиями Федерального закона № 127-ФЗ от 26.10.2002 года «О несостоятельности (банкротстве)», Приказа Минэкономразвития РФ от 15.02.2010 г. №54 «Об утверждении Порядка проведения открытых торгов в электронной форме при продаже имущества должников в ходе процедур, применяемых в деле о банкротстве». По всем вопросам, связанным с продажей Имущества и не нашедшим отражение в настоящем Положении, Организатор торгов руководствуется нормами действующего законодательства РФ. </w:t>
      </w:r>
    </w:p>
    <w:p w14:paraId="2E2DCDE5">
      <w:pPr>
        <w:pStyle w:val="8"/>
        <w:ind w:left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1.2. Продажа Имущества осуществляется следующими этапами: </w:t>
      </w:r>
    </w:p>
    <w:p w14:paraId="1FE971FE">
      <w:pPr>
        <w:pStyle w:val="8"/>
        <w:ind w:left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- Первый этап - проведение торгов в форме аукциона по продаже Имущества Должника по начальной цене продажи Имущества; </w:t>
      </w:r>
    </w:p>
    <w:p w14:paraId="7376A308">
      <w:pPr>
        <w:pStyle w:val="8"/>
        <w:ind w:left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- Второй этап - проведение повторных торгов в форме аукциона по продаже Имущества с понижением начальной цены, установленной на первоначальных торгах, на десять процентов. </w:t>
      </w:r>
    </w:p>
    <w:p w14:paraId="3C19CB78">
      <w:pPr>
        <w:pStyle w:val="8"/>
        <w:ind w:left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- Публичное предложение. </w:t>
      </w:r>
    </w:p>
    <w:p w14:paraId="568F7786">
      <w:pPr>
        <w:pStyle w:val="8"/>
        <w:ind w:left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Переход к каждому последующему этапу продажи Имущества возможен только в том случае, если Имущество Должника не было продано на предыдущем этапе. </w:t>
      </w:r>
    </w:p>
    <w:p w14:paraId="0CE38650">
      <w:pPr>
        <w:pStyle w:val="8"/>
        <w:ind w:left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1.3. Обязательным условием продажи Имущества является получение денежных средств за проданное Имущество не позднее 30 (тридцати) дней со дня подписания договора купли-продажи Имущества. Передача Имущества Должника Победителю торгов осуществляется после оплаты стоимости Имущества и поступления соответствующих денежных средств на специальный счет Должника, указанный в информационном сообщении о проведении торгов. </w:t>
      </w:r>
    </w:p>
    <w:p w14:paraId="2C83FE85">
      <w:pPr>
        <w:pStyle w:val="8"/>
        <w:ind w:left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1.4. В соответствии с настоящим Положением на Торгах подлежит реализации следующее Имущество: </w:t>
      </w:r>
    </w:p>
    <w:p w14:paraId="23AF3634">
      <w:pPr>
        <w:pStyle w:val="10"/>
        <w:spacing w:before="0" w:after="0"/>
        <w:ind w:firstLine="709"/>
        <w:rPr>
          <w:rFonts w:hint="default"/>
          <w:b/>
          <w:sz w:val="22"/>
          <w:szCs w:val="22"/>
          <w:lang w:val="ru-RU"/>
        </w:rPr>
      </w:pPr>
      <w:r>
        <w:rPr>
          <w:rFonts w:cs="Times New Roman"/>
          <w:sz w:val="22"/>
          <w:szCs w:val="22"/>
        </w:rPr>
        <w:t xml:space="preserve">Лот № 1 – </w:t>
      </w:r>
      <w:r>
        <w:rPr>
          <w:rFonts w:hint="default"/>
          <w:sz w:val="22"/>
          <w:szCs w:val="22"/>
          <w:lang w:val="ru-RU"/>
        </w:rPr>
        <w:t>1/2 доля в праве общей долевой собственности на жилое помещение, расположенное по адресу: г. Красноярск, ул. Курчатова, д. 6, кв. 196. Площадь: 16, 5 кв.м. Кадастровый номер: 24:50:0000000:49705</w:t>
      </w:r>
    </w:p>
    <w:p w14:paraId="11A629EF">
      <w:pPr>
        <w:pStyle w:val="10"/>
        <w:spacing w:before="0" w:after="0"/>
        <w:ind w:firstLine="709"/>
        <w:rPr>
          <w:rFonts w:hint="default"/>
          <w:b/>
          <w:sz w:val="22"/>
          <w:szCs w:val="22"/>
          <w:lang w:val="ru-RU"/>
        </w:rPr>
      </w:pPr>
    </w:p>
    <w:p w14:paraId="73FB94C5">
      <w:pPr>
        <w:pStyle w:val="8"/>
        <w:ind w:left="0" w:leftChars="0" w:firstLine="0" w:firstLineChars="0"/>
        <w:rPr>
          <w:rFonts w:cs="Times New Roman"/>
          <w:sz w:val="22"/>
          <w:szCs w:val="22"/>
        </w:rPr>
      </w:pPr>
    </w:p>
    <w:p w14:paraId="569D8F26">
      <w:pPr>
        <w:pStyle w:val="8"/>
        <w:ind w:left="0"/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2. Порядок проведения торгов</w:t>
      </w:r>
    </w:p>
    <w:p w14:paraId="1B237161">
      <w:pPr>
        <w:pStyle w:val="8"/>
        <w:ind w:left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2.1. Продажа Имущества Должника производится на открытых торгах в форме аукциона. Организатор торгов обязан опубликовать информационное сообщение о продаже имущества в порядке, определенном ст.ст. 28, 110 ФЗ «О несостоятельности (банкротстве), в течение 30 рабочих дней с момента утверждения настоящего положения арбитражным судом. </w:t>
      </w:r>
    </w:p>
    <w:p w14:paraId="2FC98E5B">
      <w:pPr>
        <w:pStyle w:val="8"/>
        <w:ind w:left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2.2. Торги по реализации имущества проводятся в электронной форме на электронной торговой площадке - «Лот Банкрот» в сети Интернет на сайте: </w:t>
      </w:r>
      <w:r>
        <w:rPr>
          <w:sz w:val="22"/>
          <w:szCs w:val="22"/>
        </w:rPr>
        <w:fldChar w:fldCharType="begin"/>
      </w:r>
      <w:r>
        <w:rPr>
          <w:sz w:val="22"/>
          <w:szCs w:val="22"/>
        </w:rPr>
        <w:instrText xml:space="preserve"> HYPERLINK "https://torgi.lot-bankrot.com/" </w:instrText>
      </w:r>
      <w:r>
        <w:rPr>
          <w:sz w:val="22"/>
          <w:szCs w:val="22"/>
        </w:rPr>
        <w:fldChar w:fldCharType="separate"/>
      </w:r>
      <w:r>
        <w:rPr>
          <w:rStyle w:val="5"/>
          <w:rFonts w:cs="Times New Roman"/>
          <w:color w:val="auto"/>
          <w:sz w:val="22"/>
          <w:szCs w:val="22"/>
        </w:rPr>
        <w:t>https://torgi.lot-bankrot.com/</w:t>
      </w:r>
      <w:r>
        <w:rPr>
          <w:rStyle w:val="5"/>
          <w:rFonts w:cs="Times New Roman"/>
          <w:color w:val="auto"/>
          <w:sz w:val="22"/>
          <w:szCs w:val="22"/>
        </w:rPr>
        <w:fldChar w:fldCharType="end"/>
      </w:r>
      <w:r>
        <w:rPr>
          <w:rFonts w:cs="Times New Roman"/>
          <w:sz w:val="22"/>
          <w:szCs w:val="22"/>
        </w:rPr>
        <w:t xml:space="preserve"> в соответствии с Приказом Минэкономразвития РФ от 15.02.2010 г. №54 «Об утверждении Порядка проведения открытых торгов в электронной форме при продаже имущества должников в ходе процедур, применяемых в деле о банкротстве». </w:t>
      </w:r>
    </w:p>
    <w:p w14:paraId="61136ACB">
      <w:pPr>
        <w:pStyle w:val="8"/>
        <w:numPr>
          <w:ilvl w:val="1"/>
          <w:numId w:val="1"/>
        </w:numPr>
        <w:ind w:left="0" w:firstLine="709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Перед организацией торгов в форме аукциона финансовым управляющим направляется предложение о заключении договора купли-продажи имущества по цене утвержденной настоящим положением в адрес иных собственников. В случае отказа иных собственников или неполучения ответа в течение двух месяцев с момента отправки предложения, финансовый управляющий приступает к проведению мероприятий по продаже имущества посредством открытых торгов в форме публичного предложения.</w:t>
      </w:r>
    </w:p>
    <w:p w14:paraId="28230525">
      <w:pPr>
        <w:pStyle w:val="8"/>
        <w:numPr>
          <w:ilvl w:val="1"/>
          <w:numId w:val="1"/>
        </w:numPr>
        <w:ind w:left="0" w:firstLine="709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В случае получения заявления о готовности заключения договора купли-продажи иным собственником только от одного из собственников, договор заключается с данным лицом.</w:t>
      </w:r>
    </w:p>
    <w:p w14:paraId="0F87616B">
      <w:pPr>
        <w:pStyle w:val="8"/>
        <w:numPr>
          <w:ilvl w:val="1"/>
          <w:numId w:val="1"/>
        </w:numPr>
        <w:ind w:left="0" w:firstLine="709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В случае получения заявления о готовности заключения договора купли-продажи от нескольких собственников, договор заключается с участником, который предложил большую цену.</w:t>
      </w:r>
    </w:p>
    <w:p w14:paraId="056ACA6D">
      <w:pPr>
        <w:pStyle w:val="8"/>
        <w:numPr>
          <w:ilvl w:val="1"/>
          <w:numId w:val="1"/>
        </w:numPr>
        <w:ind w:left="0" w:firstLine="709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В случае, если предложения о цене участников равны, договор заключается с участником, который первым направил заявление о готовности заключения договора купли-продажи в адрес финансового управляющего.</w:t>
      </w:r>
    </w:p>
    <w:p w14:paraId="173EA8CD">
      <w:pPr>
        <w:pStyle w:val="8"/>
        <w:numPr>
          <w:ilvl w:val="1"/>
          <w:numId w:val="1"/>
        </w:numPr>
        <w:ind w:left="0" w:firstLine="709"/>
        <w:rPr>
          <w:rFonts w:cs="Times New Roman"/>
          <w:b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Порядок проведения торгов. </w:t>
      </w:r>
    </w:p>
    <w:p w14:paraId="03E812A7">
      <w:pPr>
        <w:pStyle w:val="8"/>
        <w:ind w:left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1) Продажа выставленного на торги Имущества должника осуществляется по наивысшей предложенной цене, при этом цена продажи не может быть ниже начальной цены продажи. </w:t>
      </w:r>
    </w:p>
    <w:p w14:paraId="3B9166D1">
      <w:pPr>
        <w:pStyle w:val="8"/>
        <w:ind w:left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2) Победителем торгов признается Участник торгов, предложивший наиболее высокую цену за продаваемое Имущество. </w:t>
      </w:r>
    </w:p>
    <w:p w14:paraId="2F76F9D6">
      <w:pPr>
        <w:pStyle w:val="8"/>
        <w:ind w:left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3) Величина повышения начальной цены продажи предприятия («шаг аукциона») устанавливается в размере пяти процентов от начальной цены продажи имущества. </w:t>
      </w:r>
    </w:p>
    <w:p w14:paraId="004D43DB">
      <w:pPr>
        <w:pStyle w:val="8"/>
        <w:ind w:left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4) В течение двух рабочих дней с даты подписания протокола о результатах проведения торгов Организатор торгов направляет Победителю торгов копии этого протокола. </w:t>
      </w:r>
    </w:p>
    <w:p w14:paraId="71C3A7AF">
      <w:pPr>
        <w:pStyle w:val="8"/>
        <w:ind w:left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2.8. В течение пяти календарных дней с даты подписания протокола о результатах проведения торгов финансовый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</w:t>
      </w:r>
    </w:p>
    <w:p w14:paraId="4A1BE9B1">
      <w:pPr>
        <w:pStyle w:val="8"/>
        <w:ind w:left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2.9. В случае отказа или уклонения Победителя торгов от подписания договора купли-продажи Имущества в течение пяти календарных дней с даты получения указанного предложения финансового управляющего внесенный задаток ему не возвращается. </w:t>
      </w:r>
    </w:p>
    <w:p w14:paraId="32E27AD8">
      <w:pPr>
        <w:pStyle w:val="8"/>
        <w:ind w:left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2.10. Оплата приобретенного на торгах Имущества производится в соответствии с настоящим Положением. Оплата Имущества в рассрочку не допускается. Оплата приобретенного на торгах Имущества осуществляется на счет Должника. Внесенный Победителем торгов задаток засчитывается в счет оплаты стоимости проданного на торгах Имущества. </w:t>
      </w:r>
    </w:p>
    <w:p w14:paraId="6AAFF38B">
      <w:pPr>
        <w:pStyle w:val="8"/>
        <w:ind w:left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2.11. В случае, если Победитель торгов, подписавший договор купли-продажи, не оплатит приобретенное Имущество в порядке, установленном настоящим Положением, договор купли-продажи Имущества считается расторгнутым. При этом Победитель торгов теряет право на получение Имущества и утрачивает внесенный задаток. В отношении указанного Имущества назначаются и проводятся повторные торги по правилам раздела 3 настоящего Положения. </w:t>
      </w:r>
    </w:p>
    <w:p w14:paraId="54BDF422">
      <w:pPr>
        <w:pStyle w:val="8"/>
        <w:ind w:left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2.12. Возврат и удержание задатков. </w:t>
      </w:r>
    </w:p>
    <w:p w14:paraId="20743522">
      <w:pPr>
        <w:pStyle w:val="8"/>
        <w:ind w:left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1) Задаток, внесенный для участия в торгах, возвращается: </w:t>
      </w:r>
    </w:p>
    <w:p w14:paraId="7D3124F6">
      <w:pPr>
        <w:pStyle w:val="8"/>
        <w:ind w:left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а) Претенденту, не допущенному к участию в торгах - сумма внесенного им задатка возвращается в течение пяти рабочих дней со дня оформления Организатором торгов протокола об определении 3 участников торгов. </w:t>
      </w:r>
    </w:p>
    <w:p w14:paraId="05B7F8AB">
      <w:pPr>
        <w:pStyle w:val="8"/>
        <w:ind w:left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б) Претенденту, отозвавшему заявку на участие в торгах до момента приобретения им статуса Участника торгов - сумма поступившего от него задатка подлежит возврату в течение пяти рабочих дней со дня поступления Организатору торгов уведомления об отзыве заявки. </w:t>
      </w:r>
    </w:p>
    <w:p w14:paraId="2DBA4521">
      <w:pPr>
        <w:pStyle w:val="8"/>
        <w:ind w:left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в) Участникам торгов, не ставшим победителями торгов - суммы внесенных ими задатков возвращаются в течение пяти рабочих дней со дня подписания протокола о результатах проведения торгов. </w:t>
      </w:r>
    </w:p>
    <w:p w14:paraId="375BE94F">
      <w:pPr>
        <w:pStyle w:val="8"/>
        <w:ind w:left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г) Участникам торгов в случае признания торгов несостоявшимися - суммы внесенных задатков возвращаются в течение пяти рабочих дней с даты принятия Организатором торгов решения об объявлении торгов несостоявшимися. </w:t>
      </w:r>
    </w:p>
    <w:p w14:paraId="1FA66BCE">
      <w:pPr>
        <w:pStyle w:val="8"/>
        <w:ind w:left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2) Внесенный задаток не возвращается Победителю торгов в случае: </w:t>
      </w:r>
    </w:p>
    <w:p w14:paraId="5ECA7C35">
      <w:pPr>
        <w:pStyle w:val="8"/>
        <w:ind w:left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а) уклонения от подписания в установленный настоящим Положением срок договора купли-продажи Имущества; </w:t>
      </w:r>
    </w:p>
    <w:p w14:paraId="673AC824">
      <w:pPr>
        <w:pStyle w:val="8"/>
        <w:ind w:left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б) уклонения от оплаты в установленный настоящим Положением и договором купли-продажи срок приобретенного на торгах Имущество. </w:t>
      </w:r>
    </w:p>
    <w:p w14:paraId="1CCF6298">
      <w:pPr>
        <w:pStyle w:val="8"/>
        <w:ind w:left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2.13. В случае признания торгов несостоявшимися и не заключения договора купли-продажи с единственным участником торгов, а также в случае не заключения договора купли-продажи имущества по результатам торгов арбитражный управляющий в течение двух дней после завершения срока, установленного ФЗ РФ «О несостоятельности (банкротстве)», для принятия решений о признании торгов несостоявшимися, для заключения договора купли-продажи предприятия с единственным участником торгов, для заключения договора купли-продажи предприятия по результатам торгов, принимает решение о проведении повторных торгов и об установлении начальной цены продажи имущества. </w:t>
      </w:r>
    </w:p>
    <w:p w14:paraId="132976A6">
      <w:pPr>
        <w:pStyle w:val="8"/>
        <w:ind w:left="0"/>
        <w:rPr>
          <w:rFonts w:cs="Times New Roman"/>
          <w:sz w:val="22"/>
          <w:szCs w:val="22"/>
        </w:rPr>
      </w:pPr>
    </w:p>
    <w:p w14:paraId="6E8C4A1C">
      <w:pPr>
        <w:pStyle w:val="8"/>
        <w:ind w:left="0"/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3. Продажа Имущества Должника на повторных торгах</w:t>
      </w:r>
    </w:p>
    <w:p w14:paraId="3F5DE2A3">
      <w:pPr>
        <w:pStyle w:val="8"/>
        <w:ind w:left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3.1. О проведении повторных торгов по продаже Имущества Должника Организатор торгов публикует объявление в порядке, определенном разделом 2 настоящего Положения в течение 30 рабочих дней с момента признания первых торгов несостоявшимися. </w:t>
      </w:r>
    </w:p>
    <w:p w14:paraId="293EBFE3">
      <w:pPr>
        <w:pStyle w:val="8"/>
        <w:ind w:left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3.2. Начальная цена продажи Имущества на повторных торгах устанавливается на десять процентов ниже начальной цены продажи Имущества, установленной на первоначальных торгах. </w:t>
      </w:r>
    </w:p>
    <w:p w14:paraId="7580D1AF">
      <w:pPr>
        <w:pStyle w:val="8"/>
        <w:ind w:left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3.3. Повторные торги по продаже Имущества Должника проводятся по правилам, установленным разделом 2 настоящего Положения с учетом положений раздела 4 настоящего Положения. </w:t>
      </w:r>
    </w:p>
    <w:p w14:paraId="3A9F063A">
      <w:pPr>
        <w:pStyle w:val="8"/>
        <w:ind w:left="0"/>
        <w:rPr>
          <w:rFonts w:cs="Times New Roman"/>
          <w:sz w:val="22"/>
          <w:szCs w:val="22"/>
        </w:rPr>
      </w:pPr>
    </w:p>
    <w:p w14:paraId="1CA441C3">
      <w:pPr>
        <w:pStyle w:val="8"/>
        <w:ind w:left="0"/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4. Продажа Имущества Должника посредством публичного предложения</w:t>
      </w:r>
    </w:p>
    <w:p w14:paraId="3A992465">
      <w:pPr>
        <w:pStyle w:val="8"/>
        <w:ind w:left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4.1. Организацию продажи имущества Должника посредством публичного предложения осуществляет Организатор торгов. </w:t>
      </w:r>
    </w:p>
    <w:p w14:paraId="7806D089">
      <w:pPr>
        <w:pStyle w:val="8"/>
        <w:ind w:left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4.2. Торги посредством публичного предложения проводятся, в соответствии со сроком и временем, указанным в информационном сообщении. </w:t>
      </w:r>
    </w:p>
    <w:p w14:paraId="07247F1F">
      <w:pPr>
        <w:pStyle w:val="8"/>
        <w:ind w:left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4.3. При продаже имущества Должника посредством публичного предложения в сообщении о проведении торгов наряду со сведениями, предусмотренными статьей 110 Федерального закона № 127- ФЗ от 26.10.2002 года «О несостоятельности (банкротстве)», указываются величина снижения начальной цены продажи имущества Должника и срок, по истечении которого последовательно снижается указанная начальная цена. Начальная цена продажи Имущества на торгах в форме публичного предложения устанавливается в размере начальной цены продажи Имущества, установленной на повторных торгах. Период, в течение которого устанавливается начальная цена продажи имущества, составляет 5 (Пять) дней с момента начала приема заявок. При отсутствии в течение данного срока заявок на участие в торгах, происходит последовательное снижение начальной продажной цены имущества Должника в размере 10 (десяти) % от начальной продажной цены имущества, установленной на торгах в форме публичного предложения. Срок, по истечении которого последовательно снижается указанная начальная продажная цена, устанавливается длительностью 5 (пять) дней. Порог отсечения снижения начальной цены продажи Имущества – </w:t>
      </w:r>
      <w:r>
        <w:rPr>
          <w:rFonts w:hint="default" w:cs="Times New Roman"/>
          <w:sz w:val="22"/>
          <w:szCs w:val="22"/>
          <w:lang w:val="ru-RU"/>
        </w:rPr>
        <w:t>1</w:t>
      </w:r>
      <w:r>
        <w:rPr>
          <w:rFonts w:cs="Times New Roman"/>
          <w:sz w:val="22"/>
          <w:szCs w:val="22"/>
        </w:rPr>
        <w:t xml:space="preserve">% от начальной цены Публичного предложения. При достижении </w:t>
      </w:r>
      <w:r>
        <w:rPr>
          <w:rFonts w:hint="default" w:cs="Times New Roman"/>
          <w:sz w:val="22"/>
          <w:szCs w:val="22"/>
          <w:lang w:val="ru-RU"/>
        </w:rPr>
        <w:t>1</w:t>
      </w:r>
      <w:r>
        <w:rPr>
          <w:rFonts w:cs="Times New Roman"/>
          <w:sz w:val="22"/>
          <w:szCs w:val="22"/>
        </w:rPr>
        <w:t>% от начальной цены реализации имущества, финансовый управляющий обязан предложить принять имущество кредиторам и уполномоченному органу, требования которых включены в реестр требований кредиторов. Если в течение 7 дней указанные лица не изъявят желания принять указанное имущество в счет погашения своих требований, то в соответствии со ст. 213.26 Закона о банкротстве восстанавливается право гражданина на распоряжение указанным имуществом. При этом имущество, составляющее конкурсную массу и не реализованное финансовым управляющим, передается гражданину по акту приема-передачи.</w:t>
      </w:r>
    </w:p>
    <w:p w14:paraId="68C79918">
      <w:pPr>
        <w:pStyle w:val="8"/>
        <w:ind w:left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Размер задатка для участия в торгах посредством публичного предложения устанавливается организатором торгов и не должен превышать 20 % от начальной продажной цены имущества, установленной на повторных торгах.</w:t>
      </w:r>
    </w:p>
    <w:p w14:paraId="5DC2DB83">
      <w:pPr>
        <w:pStyle w:val="8"/>
        <w:ind w:left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Победителем торгов признаётся участник торгов, который представил заявку, содержащую предложение о цене,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торгов.</w:t>
      </w:r>
    </w:p>
    <w:p w14:paraId="331545C1">
      <w:pPr>
        <w:pStyle w:val="8"/>
        <w:ind w:left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 Должника, установленной для определенного периода проведения торгов, право приобретения принадлежит участнику торгов, предложившему максимальную цену.</w:t>
      </w:r>
    </w:p>
    <w:p w14:paraId="24D00D51">
      <w:pPr>
        <w:pStyle w:val="8"/>
        <w:ind w:left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 Должника, установленной для определенного периода проведения торгов, право приобретения принадлежит участнику торгов, который первым представил в установленный срок заявку на участие в торгах.</w:t>
      </w:r>
    </w:p>
    <w:p w14:paraId="32EE8885">
      <w:pPr>
        <w:pStyle w:val="8"/>
        <w:ind w:left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С даты определения победителя торгов прием заявок прекращается.</w:t>
      </w:r>
    </w:p>
    <w:p w14:paraId="2A1535F2">
      <w:pPr>
        <w:pStyle w:val="8"/>
        <w:numPr>
          <w:ilvl w:val="1"/>
          <w:numId w:val="2"/>
        </w:numPr>
        <w:ind w:left="0" w:firstLine="709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Победитель торгов и финансовый управляющий не позднее чем через 10 дней с даты определения победителя торгов, подписывают договор купли-продажи имущества.</w:t>
      </w:r>
    </w:p>
    <w:p w14:paraId="75CA03AC">
      <w:pPr>
        <w:pStyle w:val="8"/>
        <w:numPr>
          <w:ilvl w:val="1"/>
          <w:numId w:val="2"/>
        </w:numPr>
        <w:ind w:left="0" w:firstLine="709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Задатки, невозвращенные участникам торгов, по основаниям предусмотренным настоящим Положением, включаются в состав имущества Должника. </w:t>
      </w:r>
    </w:p>
    <w:p w14:paraId="37D24F7B">
      <w:pPr>
        <w:pStyle w:val="8"/>
        <w:numPr>
          <w:ilvl w:val="1"/>
          <w:numId w:val="2"/>
        </w:numPr>
        <w:ind w:left="0" w:firstLine="709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Покупатель имущества обязан уплатить цену имущества, указанную в заявке и договоре купли-продажи имущества, не позднее, чем через 30 дней с даты подписания договора купли-продажи.</w:t>
      </w:r>
    </w:p>
    <w:p w14:paraId="75189178">
      <w:pPr>
        <w:pStyle w:val="8"/>
        <w:numPr>
          <w:ilvl w:val="1"/>
          <w:numId w:val="2"/>
        </w:numPr>
        <w:ind w:left="0" w:firstLine="709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Передача продавцом имущества осуществляется актом приема-передачи имущества не позднее, чем через 10 дней после полной оплаты, Факт оплаты имущества подтверждается выпиской со счёта Должника о поступлении средств в размере и сроки, указанные в договоре купли-продажи.</w:t>
      </w:r>
    </w:p>
    <w:p w14:paraId="2F690545">
      <w:pPr>
        <w:rPr>
          <w:rFonts w:cs="Times New Roman"/>
          <w:sz w:val="22"/>
          <w:szCs w:val="22"/>
        </w:rPr>
      </w:pPr>
    </w:p>
    <w:p w14:paraId="04538892">
      <w:p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Финансовый управляющий</w:t>
      </w:r>
    </w:p>
    <w:p w14:paraId="376BEA3D">
      <w:pPr>
        <w:jc w:val="right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Кубрак Е.А.</w:t>
      </w:r>
    </w:p>
    <w:p w14:paraId="30F3E2D4">
      <w:pPr>
        <w:jc w:val="center"/>
        <w:rPr>
          <w:rStyle w:val="4"/>
          <w:rFonts w:cs="Times New Roman"/>
          <w:b/>
          <w:i w:val="0"/>
          <w:sz w:val="22"/>
          <w:szCs w:val="22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9926010"/>
    <w:multiLevelType w:val="multilevel"/>
    <w:tmpl w:val="39926010"/>
    <w:lvl w:ilvl="0" w:tentative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4"/>
      <w:numFmt w:val="decimal"/>
      <w:lvlText w:val="%1.%2."/>
      <w:lvlJc w:val="left"/>
      <w:pPr>
        <w:ind w:left="1069" w:hanging="360"/>
      </w:pPr>
      <w:rPr>
        <w:rFonts w:hint="default"/>
      </w:rPr>
    </w:lvl>
    <w:lvl w:ilvl="2" w:tentative="0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 w:tentative="0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">
    <w:nsid w:val="7742693B"/>
    <w:multiLevelType w:val="multilevel"/>
    <w:tmpl w:val="7742693B"/>
    <w:lvl w:ilvl="0" w:tentative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 w:tentative="0">
      <w:start w:val="3"/>
      <w:numFmt w:val="decimal"/>
      <w:lvlText w:val="%1.%2"/>
      <w:lvlJc w:val="left"/>
      <w:pPr>
        <w:ind w:left="720" w:hanging="360"/>
      </w:pPr>
      <w:rPr>
        <w:rFonts w:hint="default"/>
      </w:rPr>
    </w:lvl>
    <w:lvl w:ilvl="2" w:tentative="0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 w:tentative="0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 w:tentative="0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 w:tentative="0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 w:tentative="0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 w:tentative="0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 w:tentative="0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6A79"/>
    <w:rsid w:val="00087092"/>
    <w:rsid w:val="000C1D46"/>
    <w:rsid w:val="000D1766"/>
    <w:rsid w:val="000E49AC"/>
    <w:rsid w:val="000F3CB8"/>
    <w:rsid w:val="000F7A38"/>
    <w:rsid w:val="00105AC2"/>
    <w:rsid w:val="001166E5"/>
    <w:rsid w:val="001705B9"/>
    <w:rsid w:val="001F196D"/>
    <w:rsid w:val="001F3ED0"/>
    <w:rsid w:val="002104D0"/>
    <w:rsid w:val="002363E8"/>
    <w:rsid w:val="00297C30"/>
    <w:rsid w:val="002A03D8"/>
    <w:rsid w:val="002D6F3C"/>
    <w:rsid w:val="00306093"/>
    <w:rsid w:val="0031131D"/>
    <w:rsid w:val="00312ECB"/>
    <w:rsid w:val="00313719"/>
    <w:rsid w:val="003219D5"/>
    <w:rsid w:val="003422EF"/>
    <w:rsid w:val="00345531"/>
    <w:rsid w:val="00350C30"/>
    <w:rsid w:val="003577BB"/>
    <w:rsid w:val="003D528C"/>
    <w:rsid w:val="00426CC4"/>
    <w:rsid w:val="004373F3"/>
    <w:rsid w:val="00437766"/>
    <w:rsid w:val="00437799"/>
    <w:rsid w:val="004450B7"/>
    <w:rsid w:val="004548BB"/>
    <w:rsid w:val="00456A79"/>
    <w:rsid w:val="00461D97"/>
    <w:rsid w:val="004678D9"/>
    <w:rsid w:val="00475AC7"/>
    <w:rsid w:val="00482962"/>
    <w:rsid w:val="004908CC"/>
    <w:rsid w:val="004A1532"/>
    <w:rsid w:val="004A59E9"/>
    <w:rsid w:val="004A6423"/>
    <w:rsid w:val="004C465C"/>
    <w:rsid w:val="00511165"/>
    <w:rsid w:val="00520B21"/>
    <w:rsid w:val="005339E3"/>
    <w:rsid w:val="005B477A"/>
    <w:rsid w:val="005C2532"/>
    <w:rsid w:val="005C4AA8"/>
    <w:rsid w:val="005D4C00"/>
    <w:rsid w:val="005E21E5"/>
    <w:rsid w:val="005F39D9"/>
    <w:rsid w:val="00614140"/>
    <w:rsid w:val="00656F1A"/>
    <w:rsid w:val="00661293"/>
    <w:rsid w:val="006813F8"/>
    <w:rsid w:val="00692E1A"/>
    <w:rsid w:val="006D030A"/>
    <w:rsid w:val="006E5AFE"/>
    <w:rsid w:val="006F5D57"/>
    <w:rsid w:val="0070152D"/>
    <w:rsid w:val="00706194"/>
    <w:rsid w:val="00737AC5"/>
    <w:rsid w:val="00761EF9"/>
    <w:rsid w:val="00780CAE"/>
    <w:rsid w:val="007D4BFB"/>
    <w:rsid w:val="00804DC3"/>
    <w:rsid w:val="0084149F"/>
    <w:rsid w:val="00874CED"/>
    <w:rsid w:val="008B031E"/>
    <w:rsid w:val="008D2CAA"/>
    <w:rsid w:val="008D5C8A"/>
    <w:rsid w:val="009136DC"/>
    <w:rsid w:val="00923A6C"/>
    <w:rsid w:val="00957D4C"/>
    <w:rsid w:val="00971E4E"/>
    <w:rsid w:val="009803BB"/>
    <w:rsid w:val="009939CC"/>
    <w:rsid w:val="00994DB5"/>
    <w:rsid w:val="009A1820"/>
    <w:rsid w:val="009B5C7E"/>
    <w:rsid w:val="009D2C89"/>
    <w:rsid w:val="009D508D"/>
    <w:rsid w:val="009F1D12"/>
    <w:rsid w:val="00A02A09"/>
    <w:rsid w:val="00A44C8D"/>
    <w:rsid w:val="00A92EF9"/>
    <w:rsid w:val="00AB441A"/>
    <w:rsid w:val="00AC6B4C"/>
    <w:rsid w:val="00AE1EEF"/>
    <w:rsid w:val="00AF2D6C"/>
    <w:rsid w:val="00B52A0D"/>
    <w:rsid w:val="00B85DC1"/>
    <w:rsid w:val="00BF3F47"/>
    <w:rsid w:val="00C021BB"/>
    <w:rsid w:val="00C122DB"/>
    <w:rsid w:val="00C353E9"/>
    <w:rsid w:val="00C75D61"/>
    <w:rsid w:val="00C87464"/>
    <w:rsid w:val="00CC756B"/>
    <w:rsid w:val="00D17C81"/>
    <w:rsid w:val="00D7455D"/>
    <w:rsid w:val="00D961FC"/>
    <w:rsid w:val="00DB6F7F"/>
    <w:rsid w:val="00DC0C8D"/>
    <w:rsid w:val="00DD1DF6"/>
    <w:rsid w:val="00E03F90"/>
    <w:rsid w:val="00E17E9C"/>
    <w:rsid w:val="00E2450E"/>
    <w:rsid w:val="00E27212"/>
    <w:rsid w:val="00EF3164"/>
    <w:rsid w:val="00F11192"/>
    <w:rsid w:val="00F369C8"/>
    <w:rsid w:val="00F535FD"/>
    <w:rsid w:val="00F744D2"/>
    <w:rsid w:val="00F95833"/>
    <w:rsid w:val="00FB0F39"/>
    <w:rsid w:val="00FB4EFC"/>
    <w:rsid w:val="00FD185E"/>
    <w:rsid w:val="00FF24D8"/>
    <w:rsid w:val="04764BC2"/>
    <w:rsid w:val="30C87085"/>
    <w:rsid w:val="72ED0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0" w:line="240" w:lineRule="auto"/>
      <w:ind w:firstLine="709"/>
      <w:jc w:val="both"/>
    </w:pPr>
    <w:rPr>
      <w:rFonts w:ascii="Times New Roman" w:hAnsi="Times New Roman" w:eastAsiaTheme="minorHAnsi" w:cstheme="minorBidi"/>
      <w:sz w:val="24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Emphasis"/>
    <w:basedOn w:val="2"/>
    <w:qFormat/>
    <w:uiPriority w:val="20"/>
    <w:rPr>
      <w:i/>
      <w:iCs/>
    </w:rPr>
  </w:style>
  <w:style w:type="character" w:styleId="5">
    <w:name w:val="Hyperlink"/>
    <w:basedOn w:val="2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6">
    <w:name w:val="Balloon Text"/>
    <w:basedOn w:val="1"/>
    <w:link w:val="9"/>
    <w:semiHidden/>
    <w:unhideWhenUsed/>
    <w:qFormat/>
    <w:uiPriority w:val="99"/>
    <w:rPr>
      <w:rFonts w:ascii="Segoe UI" w:hAnsi="Segoe UI" w:cs="Segoe UI"/>
      <w:sz w:val="18"/>
      <w:szCs w:val="18"/>
    </w:rPr>
  </w:style>
  <w:style w:type="table" w:styleId="7">
    <w:name w:val="Table Grid"/>
    <w:basedOn w:val="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8">
    <w:name w:val="List Paragraph"/>
    <w:basedOn w:val="1"/>
    <w:qFormat/>
    <w:uiPriority w:val="34"/>
    <w:pPr>
      <w:ind w:left="720"/>
      <w:contextualSpacing/>
    </w:pPr>
  </w:style>
  <w:style w:type="character" w:customStyle="1" w:styleId="9">
    <w:name w:val="Текст выноски Знак"/>
    <w:basedOn w:val="2"/>
    <w:link w:val="6"/>
    <w:semiHidden/>
    <w:qFormat/>
    <w:uiPriority w:val="99"/>
    <w:rPr>
      <w:rFonts w:ascii="Segoe UI" w:hAnsi="Segoe UI" w:cs="Segoe UI"/>
      <w:sz w:val="18"/>
      <w:szCs w:val="18"/>
    </w:rPr>
  </w:style>
  <w:style w:type="paragraph" w:customStyle="1" w:styleId="10">
    <w:name w:val="indent"/>
    <w:basedOn w:val="1"/>
    <w:qFormat/>
    <w:uiPriority w:val="0"/>
    <w:pPr>
      <w:spacing w:before="240" w:after="240"/>
      <w:ind w:firstLine="708"/>
      <w:jc w:val="both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2844</Words>
  <Characters>16216</Characters>
  <Lines>135</Lines>
  <Paragraphs>38</Paragraphs>
  <TotalTime>0</TotalTime>
  <ScaleCrop>false</ScaleCrop>
  <LinksUpToDate>false</LinksUpToDate>
  <CharactersWithSpaces>19022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2022-03-21T05:39:00Z</dcterms:created>
  <dc:creator>sale_1</dc:creator>
  <cp:lastModifiedBy>User</cp:lastModifiedBy>
  <cp:lastPrinted>2025-10-22T04:36:14Z</cp:lastPrinted>
  <dcterms:modified xsi:type="dcterms:W3CDTF">2025-10-22T04:44:19Z</dcterms:modified>
  <cp:revision>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95E99DCFB6FC4E30810F8A98421E609B_12</vt:lpwstr>
  </property>
</Properties>
</file>