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6E7FC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УТВЕРЖДЕНО</w:t>
      </w:r>
    </w:p>
    <w:p w14:paraId="28AD332A">
      <w:pPr>
        <w:wordWrap w:val="0"/>
        <w:jc w:val="right"/>
        <w:rPr>
          <w:rStyle w:val="4"/>
          <w:rFonts w:hint="default" w:cs="Times New Roman"/>
          <w:i w:val="0"/>
          <w:sz w:val="22"/>
          <w:lang w:val="ru-RU"/>
        </w:rPr>
      </w:pPr>
      <w:r>
        <w:rPr>
          <w:rStyle w:val="4"/>
          <w:rFonts w:cs="Times New Roman"/>
          <w:i w:val="0"/>
          <w:sz w:val="22"/>
          <w:lang w:val="ru-RU"/>
        </w:rPr>
        <w:t>Собранием</w:t>
      </w:r>
      <w:r>
        <w:rPr>
          <w:rStyle w:val="4"/>
          <w:rFonts w:hint="default" w:cs="Times New Roman"/>
          <w:i w:val="0"/>
          <w:sz w:val="22"/>
          <w:lang w:val="ru-RU"/>
        </w:rPr>
        <w:t xml:space="preserve"> кредиторов</w:t>
      </w:r>
    </w:p>
    <w:p w14:paraId="73562EA6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«__» ____________ 202</w:t>
      </w:r>
      <w:r>
        <w:rPr>
          <w:rStyle w:val="4"/>
          <w:rFonts w:hint="default" w:cs="Times New Roman"/>
          <w:i w:val="0"/>
          <w:sz w:val="22"/>
          <w:lang w:val="ru-RU"/>
        </w:rPr>
        <w:t>5</w:t>
      </w:r>
      <w:r>
        <w:rPr>
          <w:rStyle w:val="4"/>
          <w:rFonts w:cs="Times New Roman"/>
          <w:i w:val="0"/>
          <w:sz w:val="22"/>
        </w:rPr>
        <w:t>г.</w:t>
      </w:r>
    </w:p>
    <w:p w14:paraId="0B373216">
      <w:pPr>
        <w:jc w:val="right"/>
        <w:rPr>
          <w:rFonts w:hint="default"/>
          <w:sz w:val="22"/>
          <w:szCs w:val="22"/>
          <w:lang w:val="ru-RU"/>
        </w:rPr>
      </w:pPr>
      <w:r>
        <w:rPr>
          <w:rStyle w:val="4"/>
          <w:rFonts w:cs="Times New Roman"/>
          <w:i w:val="0"/>
          <w:sz w:val="22"/>
        </w:rPr>
        <w:t>По делу № А03-20461/2024</w:t>
      </w:r>
      <w:r>
        <w:rPr>
          <w:sz w:val="22"/>
          <w:szCs w:val="22"/>
        </w:rPr>
      </w:r>
      <w:r>
        <w:rPr>
          <w:rFonts w:hint="default"/>
          <w:sz w:val="22"/>
          <w:szCs w:val="22"/>
          <w:lang w:val="ru-RU"/>
        </w:rPr>
      </w:r>
      <w:r>
        <w:rPr>
          <w:sz w:val="22"/>
          <w:szCs w:val="22"/>
        </w:rPr>
      </w:r>
      <w:r>
        <w:rPr>
          <w:rFonts w:hint="default"/>
          <w:sz w:val="22"/>
          <w:szCs w:val="22"/>
          <w:lang w:val="ru-RU"/>
        </w:rPr>
      </w:r>
      <w:r>
        <w:rPr>
          <w:sz w:val="22"/>
          <w:szCs w:val="22"/>
        </w:rPr>
      </w:r>
      <w:r>
        <w:rPr>
          <w:rFonts w:hint="default"/>
          <w:sz w:val="22"/>
          <w:szCs w:val="22"/>
          <w:lang w:val="ru-RU"/>
        </w:rPr>
      </w:r>
    </w:p>
    <w:p w14:paraId="78D80E95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08BBA8AE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47322CB5">
      <w:pPr>
        <w:pStyle w:val="8"/>
        <w:ind w:left="0"/>
        <w:jc w:val="center"/>
        <w:rPr>
          <w:rFonts w:hint="default" w:cs="Times New Roman"/>
          <w:b/>
          <w:sz w:val="22"/>
          <w:lang w:val="ru-RU"/>
        </w:rPr>
      </w:pPr>
      <w:r>
        <w:rPr>
          <w:rFonts w:cs="Times New Roman"/>
          <w:b/>
          <w:sz w:val="22"/>
          <w:lang w:val="ru-RU"/>
        </w:rPr>
        <w:t>Тептюк Кристины Игоревны</w:t>
      </w:r>
      <w:r>
        <w:rPr>
          <w:rFonts w:hint="default" w:cs="Times New Roman"/>
          <w:b/>
          <w:sz w:val="22"/>
          <w:lang w:val="ru-RU"/>
        </w:rPr>
      </w:r>
    </w:p>
    <w:p w14:paraId="3E6858D4">
      <w:pPr>
        <w:pStyle w:val="8"/>
        <w:ind w:left="0"/>
        <w:jc w:val="center"/>
        <w:rPr>
          <w:rFonts w:hint="default" w:cs="Times New Roman"/>
          <w:b/>
          <w:sz w:val="22"/>
          <w:lang w:val="ru-RU"/>
        </w:rPr>
      </w:pPr>
    </w:p>
    <w:p w14:paraId="12A2DB1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494D837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 xml:space="preserve">Должник – гражданин Тептюк Кристина Игоревна (13.05.1989 г.р., место рождения: с. Кадниково Мамонтовского р-на Алтайского края паспорт серия 0124 номер 084842 выдан: 08.02.2024 г. ГУ МВД России по Алтайскому краю зарегистрирована по адресу: 658561, Алтайский край, Мамонтовский район, с. Мамонтово, ул. Совхозная, д. 44 СНИЛС № 143-428-334 46, ИНН 225701305375) признана несостоятельной (банкротом) Решением Арбитражного суда Алтайского края от 27.04.2025 по делу № А03-20461/2024 и в отношении нее введена процедура реализации имущества. </w:t>
      </w:r>
      <w:r>
        <w:rPr>
          <w:rFonts w:cs="Times New Roman"/>
          <w:sz w:val="22"/>
        </w:rPr>
      </w:r>
      <w:r>
        <w:rPr>
          <w:rFonts w:hint="default" w:cs="Times New Roman"/>
          <w:sz w:val="22"/>
          <w:lang w:val="ru-RU"/>
        </w:rPr>
      </w:r>
      <w:r>
        <w:rPr>
          <w:rFonts w:cs="Times New Roman"/>
          <w:sz w:val="22"/>
        </w:rPr>
      </w:r>
      <w:r>
        <w:rPr>
          <w:sz w:val="22"/>
          <w:szCs w:val="21"/>
        </w:rPr>
      </w:r>
      <w:r>
        <w:rPr>
          <w:rFonts w:hint="default"/>
          <w:sz w:val="22"/>
          <w:szCs w:val="21"/>
          <w:lang w:val="ru-RU"/>
        </w:rPr>
      </w:r>
      <w:r>
        <w:rPr>
          <w:rFonts w:cs="Times New Roman"/>
          <w:sz w:val="22"/>
        </w:rPr>
      </w:r>
      <w:r>
        <w:rPr>
          <w:rFonts w:cs="Times New Roman"/>
          <w:sz w:val="22"/>
          <w:lang w:val="ru-RU"/>
        </w:rPr>
      </w:r>
      <w:r>
        <w:rPr>
          <w:rFonts w:cs="Times New Roman"/>
          <w:sz w:val="22"/>
        </w:rPr>
      </w:r>
      <w:r>
        <w:rPr>
          <w:rFonts w:cs="Times New Roman"/>
          <w:sz w:val="22"/>
          <w:lang w:val="ru-RU"/>
        </w:rPr>
      </w:r>
      <w:r>
        <w:rPr>
          <w:rFonts w:cs="Times New Roman"/>
          <w:sz w:val="22"/>
        </w:rPr>
      </w:r>
      <w:r>
        <w:rPr>
          <w:rFonts w:cs="Times New Roman"/>
          <w:sz w:val="22"/>
          <w:lang w:val="ru-RU"/>
        </w:rPr>
      </w:r>
      <w:r>
        <w:rPr>
          <w:rFonts w:cs="Times New Roman"/>
          <w:sz w:val="22"/>
        </w:rPr>
      </w:r>
      <w:r>
        <w:rPr>
          <w:rFonts w:cs="Times New Roman"/>
          <w:sz w:val="22"/>
          <w:lang w:val="ru-RU"/>
        </w:rPr>
      </w:r>
      <w:r>
        <w:rPr>
          <w:rFonts w:hint="default" w:cs="Times New Roman"/>
          <w:sz w:val="22"/>
          <w:lang w:val="ru-RU"/>
        </w:rPr>
      </w:r>
      <w:r>
        <w:rPr>
          <w:rFonts w:cs="Times New Roman"/>
          <w:sz w:val="22"/>
        </w:rPr>
      </w:r>
      <w:r>
        <w:rPr>
          <w:rFonts w:hint="default" w:cs="Times New Roman"/>
          <w:sz w:val="22"/>
          <w:lang w:val="ru-RU"/>
        </w:rPr>
      </w:r>
      <w:r>
        <w:rPr>
          <w:rFonts w:cs="Times New Roman"/>
          <w:sz w:val="22"/>
        </w:rPr>
      </w:r>
      <w:r>
        <w:rPr>
          <w:rFonts w:hint="default" w:cs="Times New Roman"/>
          <w:sz w:val="22"/>
          <w:lang w:val="ru-RU"/>
        </w:rPr>
      </w:r>
      <w:r>
        <w:rPr>
          <w:rFonts w:cs="Times New Roman"/>
          <w:sz w:val="22"/>
        </w:rPr>
      </w:r>
      <w:r>
        <w:rPr>
          <w:rFonts w:hint="default" w:cs="Times New Roman"/>
          <w:sz w:val="22"/>
          <w:lang w:val="ru-RU"/>
        </w:rPr>
      </w:r>
      <w:r>
        <w:rPr>
          <w:rFonts w:cs="Times New Roman"/>
          <w:sz w:val="22"/>
        </w:rPr>
      </w:r>
      <w:r>
        <w:rPr>
          <w:rFonts w:eastAsiaTheme="minorEastAsia" w:cstheme="minorBidi"/>
          <w:sz w:val="22"/>
        </w:rPr>
      </w:r>
      <w:r>
        <w:rPr>
          <w:rFonts w:hint="default" w:eastAsiaTheme="minorEastAsia" w:cstheme="minorBidi"/>
          <w:sz w:val="22"/>
          <w:lang w:val="ru-RU"/>
        </w:rPr>
      </w:r>
      <w:r>
        <w:rPr>
          <w:rFonts w:eastAsiaTheme="minorEastAsia" w:cstheme="minorBidi"/>
          <w:sz w:val="22"/>
        </w:rPr>
      </w:r>
      <w:r>
        <w:rPr>
          <w:rFonts w:hint="default" w:eastAsiaTheme="minorEastAsia" w:cstheme="minorBidi"/>
          <w:sz w:val="22"/>
          <w:lang w:val="ru-RU"/>
        </w:rPr>
      </w:r>
      <w:r>
        <w:rPr>
          <w:rFonts w:eastAsiaTheme="minorEastAsia" w:cstheme="minorBidi"/>
          <w:sz w:val="22"/>
        </w:rPr>
      </w:r>
      <w:r>
        <w:rPr>
          <w:rFonts w:hint="default" w:eastAsiaTheme="minorEastAsia" w:cstheme="minorBidi"/>
          <w:sz w:val="22"/>
          <w:lang w:val="ru-RU"/>
        </w:rPr>
      </w:r>
      <w:r>
        <w:rPr>
          <w:rFonts w:cs="Times New Roman"/>
          <w:sz w:val="22"/>
        </w:rPr>
      </w:r>
      <w:r>
        <w:rPr>
          <w:rFonts w:cs="Times New Roman"/>
          <w:sz w:val="22"/>
          <w:lang w:val="ru-RU"/>
        </w:rPr>
      </w:r>
      <w:r>
        <w:rPr>
          <w:rFonts w:cs="Times New Roman"/>
          <w:sz w:val="22"/>
        </w:rPr>
      </w:r>
    </w:p>
    <w:p w14:paraId="70ABBFD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rFonts w:eastAsia="Arial Unicode MS" w:cs="Times New Roman"/>
          <w:iCs/>
          <w:kern w:val="2"/>
          <w:sz w:val="22"/>
        </w:rPr>
        <w:t>Кубрак Екатерина Александровна</w:t>
      </w:r>
      <w:r>
        <w:rPr>
          <w:rFonts w:cs="Times New Roman"/>
          <w:sz w:val="22"/>
        </w:rPr>
        <w:t xml:space="preserve"> (ИНН 246417014946, СНИЛС 159-752-736 18, рег.№ </w:t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>22308), член Союз СРО "ГАУ" - Союз "Саморегулируемая организация "Гильдия арбитражных управляющих" (420034, Респ Татарстан, г Казань, ул. Соловецких Юнг, д. 7, оф. 1004, ИНН 1660062005, ОГРН 1021603626098).</w:t>
      </w:r>
    </w:p>
    <w:p w14:paraId="0010903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5D144DF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14:paraId="12BD6F5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7141D1B3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77332472">
      <w:pPr>
        <w:pStyle w:val="10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rFonts w:cs="Times New Roman"/>
          <w:sz w:val="22"/>
        </w:rPr>
        <w:t xml:space="preserve">Лот № 1 - </w:t>
      </w:r>
      <w:r>
        <w:rPr>
          <w:rFonts w:hint="default"/>
          <w:sz w:val="22"/>
          <w:szCs w:val="22"/>
          <w:lang w:val="ru-RU"/>
        </w:rPr>
        <w:t xml:space="preserve">1/263 доля в праве общей долевой собственности на земельный участок, местоположение которого установлено относительно ориентира, расположенного за пределами участка. Ориентир м.з. № 17. Участок находится примерно в -, по направлению на юг от ориентира. Почтовый адрес ориентира: Российская Федерация, край Алтайский, р-н Мамонтовский, ООО «Кадниковское». Площадь: 21 621 434 +/- 40 686 кв.м. Вид разрешенного использования: для сельскохозяйственного производства. Кадастровый номер: 22:27:000000:5. </w:t>
      </w:r>
    </w:p>
    <w:p w14:paraId="5EF5D615">
      <w:pPr>
        <w:pStyle w:val="8"/>
        <w:tabs>
          <w:tab w:val="left" w:pos="6480"/>
        </w:tabs>
        <w:ind w:left="0"/>
        <w:jc w:val="both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3B8CE18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01BEA79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  <w:r>
        <w:rPr>
          <w:rFonts w:cs="Times New Roman"/>
          <w:sz w:val="22"/>
          <w:shd w:val="clear" w:color="auto" w:fill="FFFFFF"/>
        </w:rPr>
        <w:t xml:space="preserve">Участником закрытых торгов могут быть другие участники долевой собственности, а также сельскохозяйственные организации или граждане - члены крестьянского (фермерского) хозяйства, использующие земельный участок, находящийся в долевой собственности. Документом, подтверждающим возможность продажи земельной доли, является документ, удостоверяющий право покупателя на земельную долю в составе того же земельного участка, что и приобретаемая земельная доля, или документ, подтверждающий право покупателя земельной доли на использование земельного участка, в составе которого имеется приобретаемая земельная доля. </w:t>
      </w:r>
    </w:p>
    <w:p w14:paraId="62ADAA3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0F563D6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46B78D2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22B90EB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1931EA3F">
      <w:pPr>
        <w:pStyle w:val="8"/>
        <w:ind w:left="0"/>
        <w:rPr>
          <w:rFonts w:hint="default"/>
          <w:sz w:val="22"/>
          <w:szCs w:val="22"/>
          <w:lang w:val="ru-RU"/>
        </w:rPr>
      </w:pPr>
      <w:r>
        <w:rPr>
          <w:rFonts w:cs="Times New Roman"/>
          <w:sz w:val="22"/>
        </w:rPr>
        <w:t xml:space="preserve">Лот № 1 – </w:t>
      </w:r>
      <w:r>
        <w:rPr>
          <w:rFonts w:hint="default"/>
          <w:sz w:val="22"/>
          <w:szCs w:val="22"/>
          <w:lang w:val="ru-RU"/>
        </w:rPr>
        <w:t>123 316 (сто двадцать три тысячи триста шестнадцать рублей) 16 копеек</w:t>
      </w:r>
    </w:p>
    <w:p w14:paraId="4ED1693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7BFCFFB9">
      <w:pPr>
        <w:pStyle w:val="8"/>
        <w:ind w:left="0"/>
        <w:rPr>
          <w:rFonts w:cs="Times New Roman"/>
          <w:sz w:val="22"/>
        </w:rPr>
      </w:pPr>
    </w:p>
    <w:p w14:paraId="6F55C120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11E857E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1. Настоящее положение о порядке, сроках и условиях продажи разработано в соответствии с требованиями Федерального закона от 26.10.2002 № 127-ФЗ «О несостоятельности (банкротстве)» (далее – «Положение»), а также в целях максимально полного удовлетворения требований кредиторов Должника. </w:t>
      </w:r>
    </w:p>
    <w:p w14:paraId="20DAF970">
      <w:pPr>
        <w:pStyle w:val="8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 xml:space="preserve">2. Продажа имущества Должника и публикация информационного сообщения производится финансовым управляющим, в соответствии Постановлением Конституционного Суда РФ от 16.05.2023 N 23-П, со статьями 139, 110, 111, 112, 140, ст. 129, 250, 255, 447, 448, 449 Гражданского кодекса Российской Федерации, с учѐтом положений п. 3 ст. 213.6, п. 1 ст. 213.7 и Главы X Федерального закона от 26.10.2002 г. № 127-ФЗ «О несостоятельности (банкротстве)», ст. 1, 12, 13, 14 Федерального закона от 24.07.2002 №101-ФЗ «Об обороте земель сельскохозяйственного назначения». Имущество выставляется на торги после утверждения настоящего положения </w:t>
      </w:r>
      <w:r>
        <w:rPr>
          <w:rFonts w:cs="Times New Roman"/>
          <w:sz w:val="22"/>
          <w:lang w:val="ru-RU"/>
        </w:rPr>
        <w:t>собранием</w:t>
      </w:r>
      <w:r>
        <w:rPr>
          <w:rFonts w:hint="default" w:cs="Times New Roman"/>
          <w:sz w:val="22"/>
          <w:lang w:val="ru-RU"/>
        </w:rPr>
        <w:t xml:space="preserve"> кредиторов.</w:t>
      </w:r>
    </w:p>
    <w:p w14:paraId="701CCC5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3. Информационное сообщение о проведении аукциона публикуется организатором торгов на сайте www.fedresurs.ru в сети «Интернет», в соответствии со ст. 28, ст.213.7 Закона о банкротстве, не позднее, чем за тридцать дней до даты проведения торгов. Организатор торгов вправе, с учетом принципа разумности, опубликовать дополнительные информационные сообщения о проведении торгов в органе печати, в том числе по месту нахождения Должника и (или) нахождению имущества, до даты окончания приема заявок. Дополнительные информационные сообщения должны содержать наименование лотов, сроки подачи заявок, дату торгов и ссылку на сайт ЕФРСБ (для органов печати), где размещены торги.</w:t>
      </w:r>
    </w:p>
    <w:p w14:paraId="4E85AB5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 Во исполнение п.4 ст. 110 ФЗ «О несостоятельности (банкротстве)», а также в целях обеспечения максимального удовлетворения требований кредиторов, в том числе для обеспечения защиты интересов Российской Федерации, как кредитора в рамках дела о банкротстве (как в части задолженности, включенной в реестр кредиторов, так и в части уплаты текущих платежей), проведения прозрачной процедуры реализации, продажа имущества должника производится путем проведения закрытых по составу участников торгов в форме аукциона с открытой формой подачи предложений о цене.</w:t>
      </w:r>
    </w:p>
    <w:p w14:paraId="635F06E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1.2. Продажа Имущества осуществляется следующими этапами: </w:t>
      </w:r>
    </w:p>
    <w:p w14:paraId="4A3252C3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20F4860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441B6A2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1001A14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 </w:t>
      </w:r>
    </w:p>
    <w:p w14:paraId="3EDB542D">
      <w:pPr>
        <w:pStyle w:val="8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 xml:space="preserve">5. Для привлечения максимально широкого круга потенциальных покупателей к участию в торгах, созданию естественной конкуренции и ситуации, при которой реализация имущества происходит по максимально возможным итоговым ценам, начальная цена утверждается </w:t>
      </w:r>
      <w:r>
        <w:rPr>
          <w:rFonts w:cs="Times New Roman"/>
          <w:sz w:val="22"/>
          <w:lang w:val="ru-RU"/>
        </w:rPr>
        <w:t>собранием</w:t>
      </w:r>
      <w:r>
        <w:rPr>
          <w:rFonts w:hint="default" w:cs="Times New Roman"/>
          <w:sz w:val="22"/>
          <w:lang w:val="ru-RU"/>
        </w:rPr>
        <w:t xml:space="preserve"> кредиторов. </w:t>
      </w:r>
    </w:p>
    <w:p w14:paraId="4ED9CB70">
      <w:pPr>
        <w:pStyle w:val="8"/>
        <w:ind w:left="0"/>
        <w:rPr>
          <w:rFonts w:cs="Times New Roman"/>
          <w:sz w:val="22"/>
        </w:rPr>
      </w:pPr>
    </w:p>
    <w:p w14:paraId="04F47EC7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определения цены имущества</w:t>
      </w:r>
    </w:p>
    <w:p w14:paraId="692A825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Начальная цена следующего Имущества Должника, подлежащего реализации в соответствии с условиями настоящего Положения, подлежит утверждению </w:t>
      </w:r>
      <w:r>
        <w:rPr>
          <w:rFonts w:cs="Times New Roman"/>
          <w:sz w:val="22"/>
          <w:lang w:val="ru-RU"/>
        </w:rPr>
        <w:t>собранием</w:t>
      </w:r>
      <w:r>
        <w:rPr>
          <w:rFonts w:hint="default" w:cs="Times New Roman"/>
          <w:sz w:val="22"/>
          <w:lang w:val="ru-RU"/>
        </w:rPr>
        <w:t xml:space="preserve"> кредиторов</w:t>
      </w:r>
      <w:r>
        <w:rPr>
          <w:rFonts w:cs="Times New Roman"/>
          <w:sz w:val="22"/>
        </w:rPr>
        <w:t xml:space="preserve"> и приведена ниже: </w:t>
      </w:r>
    </w:p>
    <w:p w14:paraId="65A6F6B6">
      <w:pPr>
        <w:pStyle w:val="10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rFonts w:cs="Times New Roman"/>
          <w:sz w:val="22"/>
        </w:rPr>
        <w:t xml:space="preserve">Лот № 1 - </w:t>
      </w:r>
      <w:r>
        <w:rPr>
          <w:rFonts w:hint="default"/>
          <w:sz w:val="22"/>
          <w:szCs w:val="22"/>
          <w:lang w:val="ru-RU"/>
        </w:rPr>
        <w:t xml:space="preserve">1/263 доля в праве общей долевой собственности на земельный участок, местоположение которого установлено относительно ориентира, расположенного за пределами участка. Ориентир м.з. № 17. Участок находится примерно в -, по направлению на юг от ориентира. Почтовый адрес ориентира: Российская Федерация, край Алтайский, р-н Мамонтовский, ООО «Кадниковское». Площадь: 21 621 434 +/- 40 686 кв.м. Вид разрешенного использования: для сельскохозяйственного производства. Кадастровый номер: 22:27:000000:5. </w:t>
      </w:r>
    </w:p>
    <w:p w14:paraId="25F85A0D">
      <w:pPr>
        <w:pStyle w:val="10"/>
        <w:spacing w:before="0" w:after="0"/>
        <w:ind w:firstLine="709"/>
        <w:rPr>
          <w:rFonts w:hint="default"/>
          <w:sz w:val="22"/>
          <w:szCs w:val="22"/>
          <w:lang w:val="ru-RU"/>
        </w:rPr>
      </w:pPr>
    </w:p>
    <w:p w14:paraId="32584236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 xml:space="preserve">Начальная цена продажи: </w:t>
      </w:r>
      <w:r>
        <w:rPr>
          <w:rFonts w:hint="default"/>
          <w:sz w:val="22"/>
          <w:szCs w:val="22"/>
          <w:lang w:val="ru-RU"/>
        </w:rPr>
        <w:t>123 316 (сто двадцать три тысячи триста шестнадцать рублей) 16 копеек</w:t>
      </w:r>
    </w:p>
    <w:p w14:paraId="73A14759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Порядок определения лотов имущества</w:t>
      </w:r>
    </w:p>
    <w:p w14:paraId="2CE4171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Лоты выставляемого на продажу имущества Должника и порядок их выставления на торги, а также объединения в единый лот определяются финансовым управляющим исходя из принципа разумности. </w:t>
      </w:r>
    </w:p>
    <w:p w14:paraId="75D50B9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В том случае, если торги, а также повторные торги, признаются несостоявшимися, состав лотов может быть изменен финансовым управляющим самостоятельно. Формирование лотов конкурсным управляющим способность имущества к продаже и инвестиционную привлекательность. </w:t>
      </w:r>
    </w:p>
    <w:p w14:paraId="13840E7F">
      <w:pPr>
        <w:pStyle w:val="8"/>
        <w:ind w:left="0"/>
        <w:rPr>
          <w:rFonts w:cs="Times New Roman"/>
          <w:sz w:val="22"/>
        </w:rPr>
      </w:pPr>
    </w:p>
    <w:p w14:paraId="1DC58868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Условия участия в аукционе</w:t>
      </w:r>
    </w:p>
    <w:p w14:paraId="1855C84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Прием заявок на приобретение указанного имущества начинается с даты опубликования сообщения на сайте www.fedresurs.ru в сети «Интернет». </w:t>
      </w:r>
    </w:p>
    <w:p w14:paraId="6EEB990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На каждый лот подается отдельная заявка, с указанием наименования и номера лота. Обязательными реквизитами заявки на участие в аукционе также являются: - обязательство участника торгов соблюдать требования, указанные в сообщении о проведении торгов; -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налогоплательщика, банковские реквизиты. </w:t>
      </w:r>
    </w:p>
    <w:p w14:paraId="63D272D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К участию в торгах допускаются заявители, представившие заявки на участие в торгах, соответствующие требованиям п.1 ст. 12 Федерального закона от 24.07.2002 №101-ФЗ «Об обороте земель сельскохозяйственного назначения» п. 11 ст. 110 ФЗ «О несостоятельности (банкротстве)» и Приказа Минэкономразвития РФ от 23.07.2015 г. №495, а именно участники долевой собственности вышеуказанного имущества, а также сельскохозяйственной организации или гражданина - члена крестьянского (фермерского) хозяйства его использующего. Заявка на участие в торгах оформляется произвольно в письменной форме на русском языке и должна содержать указанные в сообщении о проведении торгов следующие сведения: наименование, организационно-правовую форму, место нахождения, почтовый адрес (для юридического лица) заявителя; ФИО, паспортные данные, сведения о месте жительства (для физического лица) заявителя; номер контактного телефона, адрес электронной почты заявителя; документ, подтверждающий полномочия лица на осуществление действий от имени заявителя. Заявка на участие в торгах должна содержать также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уставном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управляющий. Документы, прилагаемые к заявке, представляются в форме электронных документов, подписанных квалифицированной электронной подписью заявителя. Также участники торгов представляют документы, подтверждающие участие в праве общей долевой собственности на земельный участок, либо документы, подтверждающие наличие у участников торгов статуса сельскохозяйственных организаций или граждан - членов крестьянского (фермерского) хозяйства, использующих указанный земельный участок. </w:t>
      </w:r>
    </w:p>
    <w:p w14:paraId="6026AAB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 Для участия в торгах Заявитель должен внести задаток в размере 20 % (Двадцать процентов) от начальной цены продажи имущества (соответствующего лота) на банковский счет, реквизиты которого указываются в сообщении о проведении торгов. Задаток должен быть внесен Заявителем в срок, обеспечивающий его поступление на счет, указанный в информационном сообщении о проведении торгов, до даты окончания приема заявок на участие в торгах. </w:t>
      </w:r>
    </w:p>
    <w:p w14:paraId="07659A8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5. Финансовый управляющий может отказать претенденту в принятии заявки и (или) участии в аукционе в случае нарушения претендентом любого пункта из настоящего раздела.</w:t>
      </w:r>
    </w:p>
    <w:p w14:paraId="03452DB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6. Финансовый управляющий принимает меры по обеспечению сохранности заявок и прилагаемых к ним документов, в том числе, предложений о цене имущества, поданных претендентами при подаче заявок, а также конфиденциальности сведений о лицах, подавших заявки, и содержания представленных ими документов до момента их рассмотрения. </w:t>
      </w:r>
    </w:p>
    <w:p w14:paraId="5A424CDD">
      <w:pPr>
        <w:pStyle w:val="8"/>
        <w:ind w:left="0"/>
        <w:rPr>
          <w:rFonts w:cs="Times New Roman"/>
          <w:sz w:val="22"/>
        </w:rPr>
      </w:pPr>
    </w:p>
    <w:p w14:paraId="256FFC12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5. Порядок проведения торгов</w:t>
      </w:r>
    </w:p>
    <w:p w14:paraId="5329433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Торги проводятся финансовым управляющим, являющимся организатором торгов, в соответствии с Постановлением Конституционного Суда РФ от 16.05.2023 N 23-П, а также со статьями 139, 110, 111, 112, 140, ст. 129, 250, 255, 447, 448, 449 Гражданского кодекса Российской Федерации, с учётом положений п. 3 ст. 213.6, п. 1 ст. 213.7 и Главы X Федерального закона от 26.10.2002 г. № 127-ФЗ «О несостоятельности (банкротстве)», ст. 1, 12, 13, 14 Федерального закона от 24.07.2002 №101-ФЗ «Об обороте земель сельскохозяйственного назначения». </w:t>
      </w:r>
    </w:p>
    <w:p w14:paraId="729DE64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В соответствии с п.4 ст. 110 Закона о банкротстве Продажа предприятия осуществляется путем проведения открытых торгов, за исключением случая наличия в составе предприятия имущества, относящегося в соответствии с законодательством Российской Федерации к ограниченно оборотоспособному имуществу. В этом случае продажа предприятия осуществляется путем проведения закрытых торгов, в которых принимают участие только лица, которые в соответствии с федеральным законом могут иметь в собственности или на ином вещном праве имущество, относящееся к ограниченно оборотоспособному имуществу. </w:t>
      </w:r>
    </w:p>
    <w:p w14:paraId="1D272E1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Проведение торгов в форме закрытого аукциона предполагает представление потенциальными покупателями наряду с документацией, как при проведении аукциона, так и дополнительных документов, подтверждающих соответствие заявителя требованиям к участнику торгов, установленным в соответствии с законодательством Российской Федерации в отношении ограниченно оборотоспособного имущества. </w:t>
      </w:r>
    </w:p>
    <w:p w14:paraId="39C54B6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 При продаже с торгов доли в праве общей собственности, принадлежащей должнику, конкурсный управляющий направляет другим участникам долевой собственности предложение приобрести принадлежащую должнику долю с указанием ее стоимости, равной начальной цене на торгах. При наличии согласия конкурсный управляющий заключает договор купли-продажи с соответствующим участником (участниками) долевой собственности. При неполучении согласия в течение месячного срока доля в праве общей собственности, принадлежащая должнику, продается с торгов. При этом правило о преимущественном праве покупки участников долевой собственности не применяется в этом случае, а также при продаже с повторных торгов и продаже посредством публичного предложения. </w:t>
      </w:r>
    </w:p>
    <w:p w14:paraId="52B4070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5. Торги по реализации имущества проводятся в электронной форме на электронной торговой площадке – «Лот Банкрот» в сети Интернет на сайте: </w:t>
      </w:r>
      <w:r>
        <w:fldChar w:fldCharType="begin"/>
      </w:r>
      <w:r>
        <w:instrText xml:space="preserve"> HYPERLINK "https://torgi.lot-bankrot.com/" </w:instrText>
      </w:r>
      <w:r>
        <w:fldChar w:fldCharType="separate"/>
      </w:r>
      <w:r>
        <w:rPr>
          <w:rStyle w:val="5"/>
          <w:rFonts w:cs="Times New Roman"/>
          <w:sz w:val="22"/>
        </w:rPr>
        <w:t>https://torgi.lot-bankrot.com/</w:t>
      </w:r>
      <w:r>
        <w:rPr>
          <w:rStyle w:val="5"/>
          <w:rFonts w:cs="Times New Roman"/>
          <w:sz w:val="22"/>
        </w:rPr>
        <w:fldChar w:fldCharType="end"/>
      </w:r>
      <w:r>
        <w:rPr>
          <w:rFonts w:cs="Times New Roman"/>
          <w:sz w:val="22"/>
        </w:rPr>
        <w:t xml:space="preserve">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55FD6FA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6. Порядок проведения торгов. </w:t>
      </w:r>
    </w:p>
    <w:p w14:paraId="40BFF12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0044A27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305EF78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2C1785F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6EB0156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7.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42E873F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8.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25CFE95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9. Возврат и удержание задатков. </w:t>
      </w:r>
    </w:p>
    <w:p w14:paraId="6CE5DDE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10C73ADD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0F7D57D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372D307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4419E78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076CE0E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4D7C476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5978B20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4296BF0E">
      <w:pPr>
        <w:ind w:firstLine="0"/>
        <w:rPr>
          <w:rFonts w:cs="Times New Roman"/>
          <w:sz w:val="22"/>
        </w:rPr>
      </w:pPr>
    </w:p>
    <w:p w14:paraId="23FD4FD7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6. Оформление Результатов торгов и порядок заключения договора купли-продажи с победителем</w:t>
      </w:r>
    </w:p>
    <w:p w14:paraId="66138C5D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По результатам торгов финансовый управляющий и победитель аукциона (покупатель) заключают в соответствии с законодательством Российской Федерации договор купли-продажи имущества. </w:t>
      </w:r>
    </w:p>
    <w:p w14:paraId="1E82505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Оплата приобретенного на торгах имущества производится не позднее, чем через 30 дней с даты заключения договора, путем перечисления денежных средств расчетный счет Должника. Задаток, внесенный покупателем на специальный счет, засчитывается в оплату приобретаемого имущества. </w:t>
      </w:r>
    </w:p>
    <w:p w14:paraId="2616920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Передача финансовым управляющим имущества и принятие его покупателем осуществляются не позднее чем через 30 (Тридцать) дней после полной оплаты имущества по передаточному акту, подписываемому в соответствии с законодательством Российской Федерации. </w:t>
      </w:r>
    </w:p>
    <w:p w14:paraId="0020248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 В случае, если победитель уклоняется от заключения или оплаты договора купли-продажи, задаток, оплаченный им для участия в торгах не возвращается, в таком случае финансовый управляющий имеет право предложить заключить договор купли-продажи участнику, предложившему наибольшую цену по сравнению с победителем. </w:t>
      </w:r>
    </w:p>
    <w:p w14:paraId="79F56099">
      <w:pPr>
        <w:pStyle w:val="8"/>
        <w:ind w:left="0"/>
        <w:rPr>
          <w:rFonts w:cs="Times New Roman"/>
          <w:sz w:val="22"/>
        </w:rPr>
      </w:pPr>
    </w:p>
    <w:p w14:paraId="19F86BC2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7. Продажа Имущества Должника на повторных торгах</w:t>
      </w:r>
    </w:p>
    <w:p w14:paraId="4A958DC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4860F9D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14DEFFE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68AD79EC">
      <w:pPr>
        <w:pStyle w:val="8"/>
        <w:ind w:left="0"/>
        <w:rPr>
          <w:rFonts w:cs="Times New Roman"/>
          <w:sz w:val="22"/>
        </w:rPr>
      </w:pPr>
    </w:p>
    <w:p w14:paraId="75F949AD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8. Порядок продажи посредством публичного предложения</w:t>
      </w:r>
    </w:p>
    <w:p w14:paraId="6AC85CC6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В случае если повторные торги по продаже имущества Должника признаны несостоявшимися, а также в случае если договор купли-продажи, подлежащий заключению по результатам повторных торгов, не был заключен, то такое имущество подлежит реализации посредством публичного предложения. </w:t>
      </w:r>
    </w:p>
    <w:p w14:paraId="741532A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Условия реализации имущества Должника посредством публичного предложения: </w:t>
      </w:r>
    </w:p>
    <w:p w14:paraId="0C65546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hint="default" w:cs="Times New Roman"/>
          <w:sz w:val="22"/>
          <w:lang w:val="ru-RU"/>
        </w:rPr>
        <w:t>1</w:t>
      </w:r>
      <w:bookmarkStart w:id="0" w:name="_GoBack"/>
      <w:bookmarkEnd w:id="0"/>
      <w:r>
        <w:rPr>
          <w:rFonts w:cs="Times New Roman"/>
          <w:sz w:val="22"/>
        </w:rPr>
        <w:t>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7208AC3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171E7ED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6F28407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20F386A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3A2334D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43381DDB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0D1EC1F7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1974A184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7AD901F9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6D15ECD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7. Все расходы, связанные с переоформлением прав собственности на Имущество Должника, подлежащего реализации в соответствии с условиями настоящего Положения, возлагаются на покупателя. </w:t>
      </w:r>
    </w:p>
    <w:p w14:paraId="2E419A0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8. Вопросы, не урегулированные настоящим Положением, решаются в соответствии с законодательством Российской Федерации».</w:t>
      </w:r>
    </w:p>
    <w:p w14:paraId="3A6D6994">
      <w:pPr>
        <w:pStyle w:val="8"/>
        <w:ind w:left="0"/>
        <w:rPr>
          <w:rFonts w:cs="Times New Roman"/>
          <w:sz w:val="22"/>
        </w:rPr>
      </w:pPr>
    </w:p>
    <w:p w14:paraId="146786BF">
      <w:pPr>
        <w:pStyle w:val="8"/>
        <w:ind w:left="0"/>
        <w:rPr>
          <w:rStyle w:val="4"/>
          <w:rFonts w:cs="Times New Roman"/>
          <w:b/>
          <w:i w:val="0"/>
          <w:sz w:val="22"/>
        </w:rPr>
      </w:pPr>
      <w:r>
        <w:rPr>
          <w:rFonts w:cs="Times New Roman"/>
          <w:sz w:val="22"/>
        </w:rPr>
        <w:t>Финансовый управляющий ____________________ / Кубрак Е.А./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6010"/>
    <w:multiLevelType w:val="multilevel"/>
    <w:tmpl w:val="39926010"/>
    <w:lvl w:ilvl="0" w:tentative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79"/>
    <w:rsid w:val="00051844"/>
    <w:rsid w:val="00087092"/>
    <w:rsid w:val="000C1D46"/>
    <w:rsid w:val="000E49AC"/>
    <w:rsid w:val="000F3CB8"/>
    <w:rsid w:val="000F7A38"/>
    <w:rsid w:val="001166E5"/>
    <w:rsid w:val="001705B9"/>
    <w:rsid w:val="001D28C4"/>
    <w:rsid w:val="001F196D"/>
    <w:rsid w:val="001F3ED0"/>
    <w:rsid w:val="002104D0"/>
    <w:rsid w:val="002149DE"/>
    <w:rsid w:val="002363E8"/>
    <w:rsid w:val="00254308"/>
    <w:rsid w:val="002561FD"/>
    <w:rsid w:val="00260B6A"/>
    <w:rsid w:val="00274FA7"/>
    <w:rsid w:val="00292FD9"/>
    <w:rsid w:val="00297C30"/>
    <w:rsid w:val="00306093"/>
    <w:rsid w:val="0031131D"/>
    <w:rsid w:val="00312ECB"/>
    <w:rsid w:val="00313719"/>
    <w:rsid w:val="003208C6"/>
    <w:rsid w:val="003219D5"/>
    <w:rsid w:val="00322A3A"/>
    <w:rsid w:val="003422EF"/>
    <w:rsid w:val="00345531"/>
    <w:rsid w:val="00350C30"/>
    <w:rsid w:val="003577BB"/>
    <w:rsid w:val="003654C4"/>
    <w:rsid w:val="003D528C"/>
    <w:rsid w:val="00426CC4"/>
    <w:rsid w:val="00437766"/>
    <w:rsid w:val="00437799"/>
    <w:rsid w:val="004450B7"/>
    <w:rsid w:val="004548BB"/>
    <w:rsid w:val="00456A79"/>
    <w:rsid w:val="004678D9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A6CDE"/>
    <w:rsid w:val="005B477A"/>
    <w:rsid w:val="005C2532"/>
    <w:rsid w:val="005C4AA8"/>
    <w:rsid w:val="005C720E"/>
    <w:rsid w:val="005D4C00"/>
    <w:rsid w:val="005E21E5"/>
    <w:rsid w:val="005F39D9"/>
    <w:rsid w:val="00614140"/>
    <w:rsid w:val="00656F1A"/>
    <w:rsid w:val="006813F8"/>
    <w:rsid w:val="00692E1A"/>
    <w:rsid w:val="006D030A"/>
    <w:rsid w:val="006E5AFE"/>
    <w:rsid w:val="006F5D57"/>
    <w:rsid w:val="00706290"/>
    <w:rsid w:val="00737AC5"/>
    <w:rsid w:val="007D4BFB"/>
    <w:rsid w:val="007F58D7"/>
    <w:rsid w:val="00804DC3"/>
    <w:rsid w:val="00874CED"/>
    <w:rsid w:val="008816CF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D2C89"/>
    <w:rsid w:val="009D508D"/>
    <w:rsid w:val="009F1D12"/>
    <w:rsid w:val="00A02A09"/>
    <w:rsid w:val="00A356B3"/>
    <w:rsid w:val="00A7278C"/>
    <w:rsid w:val="00A92EF9"/>
    <w:rsid w:val="00AA6079"/>
    <w:rsid w:val="00AB441A"/>
    <w:rsid w:val="00AC6B4C"/>
    <w:rsid w:val="00AE1EEF"/>
    <w:rsid w:val="00AF2D6C"/>
    <w:rsid w:val="00B52A0D"/>
    <w:rsid w:val="00B718E2"/>
    <w:rsid w:val="00B85DC1"/>
    <w:rsid w:val="00BD79DD"/>
    <w:rsid w:val="00BE7984"/>
    <w:rsid w:val="00C021BB"/>
    <w:rsid w:val="00C122DB"/>
    <w:rsid w:val="00C2690C"/>
    <w:rsid w:val="00C337F1"/>
    <w:rsid w:val="00C353E9"/>
    <w:rsid w:val="00C75D61"/>
    <w:rsid w:val="00C87464"/>
    <w:rsid w:val="00CC7525"/>
    <w:rsid w:val="00CC756B"/>
    <w:rsid w:val="00D17C81"/>
    <w:rsid w:val="00D61BB1"/>
    <w:rsid w:val="00D72C88"/>
    <w:rsid w:val="00D7455D"/>
    <w:rsid w:val="00D961FC"/>
    <w:rsid w:val="00DB6F7F"/>
    <w:rsid w:val="00DC0C8D"/>
    <w:rsid w:val="00DD1D20"/>
    <w:rsid w:val="00DD1DF6"/>
    <w:rsid w:val="00DF7A56"/>
    <w:rsid w:val="00E03F90"/>
    <w:rsid w:val="00E11260"/>
    <w:rsid w:val="00E2450E"/>
    <w:rsid w:val="00E27212"/>
    <w:rsid w:val="00E80EE9"/>
    <w:rsid w:val="00EF3164"/>
    <w:rsid w:val="00F11192"/>
    <w:rsid w:val="00F369C8"/>
    <w:rsid w:val="00F462B3"/>
    <w:rsid w:val="00F535FD"/>
    <w:rsid w:val="00F744D2"/>
    <w:rsid w:val="00F90734"/>
    <w:rsid w:val="00F95833"/>
    <w:rsid w:val="00FB0F39"/>
    <w:rsid w:val="00FB4EFC"/>
    <w:rsid w:val="00FD185E"/>
    <w:rsid w:val="00FD6A8E"/>
    <w:rsid w:val="00FF24D8"/>
    <w:rsid w:val="08093668"/>
    <w:rsid w:val="1FDA6EAB"/>
    <w:rsid w:val="295352FF"/>
    <w:rsid w:val="45CF4E6C"/>
    <w:rsid w:val="60EF69A4"/>
    <w:rsid w:val="63424ECB"/>
    <w:rsid w:val="73FC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ind w:firstLine="709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9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Текст выноски Знак"/>
    <w:basedOn w:val="2"/>
    <w:link w:val="6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10">
    <w:name w:val="indent"/>
    <w:basedOn w:val="1"/>
    <w:qFormat/>
    <w:uiPriority w:val="0"/>
    <w:pPr>
      <w:spacing w:before="240" w:after="240"/>
      <w:ind w:firstLine="708"/>
      <w:jc w:val="both"/>
    </w:pPr>
  </w:style>
</w:styles>
</file>

<file path=word/_rels/document.xml.rels><?xml version='1.0' encoding='UTF-8' standalone='yes'?>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3647</Words>
  <Characters>20791</Characters>
  <Lines>173</Lines>
  <Paragraphs>48</Paragraphs>
  <TotalTime>1</TotalTime>
  <ScaleCrop>false</ScaleCrop>
  <LinksUpToDate>false</LinksUpToDate>
  <CharactersWithSpaces>24390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2022-03-21T05:39:00Z</dcterms:created>
  <dc:creator>sale_1</dc:creator>
  <cp:lastModifiedBy>User</cp:lastModifiedBy>
  <cp:lastPrinted>2025-10-23T06:31:08Z</cp:lastPrinted>
  <dcterms:modified xsi:type="dcterms:W3CDTF">2025-10-23T07:04:14Z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38F75313F37E4F9784C218D04D4828A9_13</vt:lpwstr>
  </property>
</Properties>
</file>