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19-7305/2025</w:t>
      </w:r>
    </w:p>
    <w:p w14:paraId="5CDE8AB6">
      <w:pPr>
        <w:jc w:val="right"/>
        <w:rPr>
          <w:rFonts w:hint="default"/>
          <w:sz w:val="22"/>
          <w:szCs w:val="22"/>
          <w:lang w:val="ru-RU"/>
        </w:rPr>
      </w:pP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129A2693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Ганичкина</w:t>
      </w:r>
      <w:r>
        <w:rPr>
          <w:rFonts w:hint="default"/>
          <w:b/>
          <w:sz w:val="22"/>
          <w:lang w:val="ru-RU"/>
        </w:rPr>
        <w:t xml:space="preserve"> Николая Александровича  </w:t>
      </w:r>
    </w:p>
    <w:p w14:paraId="7235ACCB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  <w:lang w:val="ru-RU"/>
        </w:rPr>
        <w:t>Ганичкин</w:t>
      </w:r>
      <w:r>
        <w:rPr>
          <w:rFonts w:hint="default" w:cs="Times New Roman"/>
          <w:sz w:val="22"/>
          <w:lang w:val="ru-RU"/>
        </w:rPr>
        <w:t xml:space="preserve"> Николай Александрович</w:t>
      </w:r>
      <w:r>
        <w:rPr>
          <w:sz w:val="22"/>
        </w:rPr>
        <w:t xml:space="preserve"> </w:t>
      </w:r>
      <w:r>
        <w:rPr>
          <w:sz w:val="22"/>
          <w:szCs w:val="21"/>
        </w:rPr>
        <w:t>(дата и место рождения: 21.02.1989, Иркутская область, Качугский район, дер. Ново – Харбатова, СНИЛС 163-175- 378 69, ИНН 383002444817, адрес: Иркутская область, Иркутский район, микрорайон</w:t>
      </w:r>
      <w:r>
        <w:rPr>
          <w:rFonts w:hint="default"/>
          <w:sz w:val="22"/>
          <w:szCs w:val="21"/>
          <w:lang w:val="ru-RU"/>
        </w:rPr>
        <w:t xml:space="preserve"> </w:t>
      </w:r>
      <w:r>
        <w:rPr>
          <w:sz w:val="22"/>
          <w:szCs w:val="21"/>
        </w:rPr>
        <w:t>Южный возле садоводства «Горка», ДНТ «Исток», ул. Кленовая, д. 17, почтовый адрес: г. Иркутск, ул. Баумана, д. 212)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  <w:lang w:val="ru-RU"/>
        </w:rPr>
        <w:t>н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Иркутской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20.05.2025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19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7305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5F654AF5">
      <w:pPr>
        <w:pStyle w:val="9"/>
        <w:spacing w:before="0" w:after="0"/>
        <w:ind w:firstLine="709"/>
        <w:rPr>
          <w:rFonts w:hint="default"/>
          <w:sz w:val="22"/>
          <w:lang w:val="ru-RU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</w:t>
      </w:r>
      <w:r>
        <w:rPr>
          <w:rFonts w:hint="default"/>
          <w:sz w:val="22"/>
          <w:szCs w:val="22"/>
          <w:lang w:val="en-US"/>
        </w:rPr>
        <w:t>DAEWOO LACETTI</w:t>
      </w:r>
      <w:r>
        <w:rPr>
          <w:rFonts w:hint="default"/>
          <w:sz w:val="22"/>
          <w:szCs w:val="22"/>
          <w:lang w:val="ru-RU"/>
        </w:rPr>
        <w:t xml:space="preserve">, 2009 г.в., </w:t>
      </w:r>
      <w:r>
        <w:rPr>
          <w:rFonts w:hint="default"/>
          <w:sz w:val="22"/>
          <w:szCs w:val="22"/>
          <w:lang w:val="en-US"/>
        </w:rPr>
        <w:t>VIN KLAJA69ED9K144391</w:t>
      </w:r>
      <w:r>
        <w:rPr>
          <w:rFonts w:hint="default"/>
          <w:sz w:val="22"/>
          <w:szCs w:val="22"/>
          <w:lang w:val="ru-RU"/>
        </w:rPr>
        <w:t xml:space="preserve">, № кузова </w:t>
      </w:r>
      <w:r>
        <w:rPr>
          <w:rFonts w:hint="default"/>
          <w:sz w:val="22"/>
          <w:szCs w:val="22"/>
          <w:lang w:val="en-US"/>
        </w:rPr>
        <w:t>KLAJA69ED9K144391</w:t>
      </w:r>
      <w:r>
        <w:rPr>
          <w:rFonts w:hint="default"/>
          <w:sz w:val="22"/>
          <w:szCs w:val="22"/>
          <w:lang w:val="ru-RU"/>
        </w:rPr>
        <w:t xml:space="preserve">, ГРЗ У751ХН38, цвет черный. 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446 000</w:t>
      </w:r>
      <w:r>
        <w:rPr>
          <w:rFonts w:hint="default" w:cs="Times New Roman"/>
          <w:sz w:val="22"/>
          <w:lang w:val="ru-RU"/>
        </w:rPr>
        <w:t xml:space="preserve"> (четыреста сорок шесть тысяч)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2EE9A18">
      <w:pPr>
        <w:pStyle w:val="9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</w:t>
      </w:r>
      <w:r>
        <w:rPr>
          <w:rFonts w:hint="default"/>
          <w:sz w:val="22"/>
          <w:szCs w:val="22"/>
          <w:lang w:val="en-US"/>
        </w:rPr>
        <w:t>DAEWOO LACETTI</w:t>
      </w:r>
      <w:r>
        <w:rPr>
          <w:rFonts w:hint="default"/>
          <w:sz w:val="22"/>
          <w:szCs w:val="22"/>
          <w:lang w:val="ru-RU"/>
        </w:rPr>
        <w:t xml:space="preserve">, 2009 г.в., </w:t>
      </w:r>
      <w:r>
        <w:rPr>
          <w:rFonts w:hint="default"/>
          <w:sz w:val="22"/>
          <w:szCs w:val="22"/>
          <w:lang w:val="en-US"/>
        </w:rPr>
        <w:t>VIN KLAJA69ED9K144391</w:t>
      </w:r>
      <w:r>
        <w:rPr>
          <w:rFonts w:hint="default"/>
          <w:sz w:val="22"/>
          <w:szCs w:val="22"/>
          <w:lang w:val="ru-RU"/>
        </w:rPr>
        <w:t xml:space="preserve">, № кузова </w:t>
      </w:r>
      <w:r>
        <w:rPr>
          <w:rFonts w:hint="default"/>
          <w:sz w:val="22"/>
          <w:szCs w:val="22"/>
          <w:lang w:val="en-US"/>
        </w:rPr>
        <w:t>KLAJA69ED9K144391</w:t>
      </w:r>
      <w:r>
        <w:rPr>
          <w:rFonts w:hint="default"/>
          <w:sz w:val="22"/>
          <w:szCs w:val="22"/>
          <w:lang w:val="ru-RU"/>
        </w:rPr>
        <w:t xml:space="preserve">, ГРЗ У751ХН38, цвет черный.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4</w:t>
      </w:r>
      <w:r>
        <w:rPr>
          <w:rFonts w:cs="Times New Roman"/>
          <w:sz w:val="22"/>
        </w:rPr>
        <w:t xml:space="preserve">0%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4</w:t>
      </w:r>
      <w:bookmarkStart w:id="0" w:name="_GoBack"/>
      <w:bookmarkEnd w:id="0"/>
      <w:r>
        <w:rPr>
          <w:rFonts w:cs="Times New Roman"/>
          <w:sz w:val="22"/>
        </w:rPr>
        <w:t>0%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p>
      <w:r>
        <w:br w:type="page"/>
      </w:r>
    </w:p>
    <w:tbl>
      <w:tblPr>
        <w:tblStyle w:val="3"/>
        <w:tblW w:w="5297" w:type="pct"/>
        <w:tblCellSpacing w:w="0" w:type="dxa"/>
        <w:tblInd w:w="-56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6795"/>
      </w:tblGrid>
      <w:tr w14:paraId="4E495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  <w:tblCellSpacing w:w="0" w:type="dxa"/>
        </w:trPr>
        <w:tc>
          <w:tcPr>
            <w:tcW w:w="5000" w:type="pct"/>
            <w:gridSpan w:val="2"/>
          </w:tcPr>
          <w:tbl>
            <w:tblPr>
              <w:tblStyle w:val="3"/>
              <w:tblW w:w="9859" w:type="dxa"/>
              <w:tblInd w:w="54" w:type="dxa"/>
              <w:tblLayout w:type="autofit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9859"/>
            </w:tblGrid>
            <w:tr w14:paraId="2272BC6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1580" w:hRule="atLeast"/>
              </w:trPr>
              <w:tc>
                <w:tcPr>
                  <w:tcW w:w="9859" w:type="dxa"/>
                  <w:tcBorders>
                    <w:bottom w:val="single" w:color="000000" w:sz="22" w:space="0"/>
                  </w:tcBorders>
                </w:tcPr>
                <w:p w14:paraId="7B1BF4BD">
                  <w:pPr>
                    <w:ind w:left="709" w:firstLine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Арбитражный управляющий</w:t>
                  </w:r>
                </w:p>
                <w:p w14:paraId="6FB08E15">
                  <w:pPr>
                    <w:ind w:left="709" w:firstLine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Кубрак Екатерина Александровна</w:t>
                  </w:r>
                </w:p>
                <w:p w14:paraId="585A43CC">
                  <w:pPr>
                    <w:ind w:left="709" w:firstLine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Союз СРО "ГАУ" - Союз "Саморегулируемая организация "Гильдия арбитражных управляющих"</w:t>
                  </w:r>
                </w:p>
                <w:p w14:paraId="413AA275">
                  <w:pPr>
                    <w:ind w:left="709" w:firstLine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Адрес: 660049, г. Красноярск, ул. Урицкого, д.61, оф. 3-19</w:t>
                  </w:r>
                </w:p>
                <w:p w14:paraId="79C08ED6">
                  <w:pPr>
                    <w:ind w:left="709" w:firstLine="0"/>
                    <w:jc w:val="center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тел./факс +7 (923) 350-85-48; E-mail: Arbitr-Kubrak@yandex.ru</w:t>
                  </w:r>
                </w:p>
                <w:p w14:paraId="310E5E54">
                  <w:pPr>
                    <w:widowControl w:val="0"/>
                    <w:suppressAutoHyphens/>
                    <w:ind w:left="417" w:firstLine="0"/>
                    <w:jc w:val="left"/>
                    <w:rPr>
                      <w:rFonts w:eastAsia="Arial Unicode MS" w:cs="Times New Roman"/>
                      <w:kern w:val="1"/>
                      <w:szCs w:val="24"/>
                      <w:lang w:eastAsia="ru-RU"/>
                    </w:rPr>
                  </w:pPr>
                </w:p>
              </w:tc>
            </w:tr>
          </w:tbl>
          <w:p w14:paraId="7F1C5154">
            <w:pPr>
              <w:ind w:left="417"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14:paraId="6604662E">
        <w:tblPrEx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1737" w:hRule="atLeast"/>
          <w:tblCellSpacing w:w="0" w:type="dxa"/>
        </w:trPr>
        <w:tc>
          <w:tcPr>
            <w:tcW w:w="1572" w:type="pct"/>
          </w:tcPr>
          <w:p w14:paraId="6D177B77">
            <w:pPr>
              <w:ind w:left="417" w:firstLine="0"/>
              <w:jc w:val="lef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 </w:t>
            </w:r>
          </w:p>
          <w:p w14:paraId="7B366999">
            <w:pPr>
              <w:ind w:firstLine="0"/>
              <w:jc w:val="center"/>
              <w:rPr>
                <w:rFonts w:hint="default" w:eastAsia="Times New Roman" w:cs="Times New Roman"/>
                <w:bCs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исх. № б\н от </w:t>
            </w:r>
            <w:r>
              <w:rPr>
                <w:rFonts w:hint="default" w:eastAsia="Times New Roman" w:cs="Times New Roman"/>
                <w:sz w:val="22"/>
                <w:lang w:val="en-US" w:eastAsia="ru-RU"/>
              </w:rPr>
              <w:t>20</w:t>
            </w:r>
            <w:r>
              <w:rPr>
                <w:rFonts w:eastAsia="Times New Roman" w:cs="Times New Roman"/>
                <w:sz w:val="22"/>
                <w:lang w:eastAsia="ru-RU"/>
              </w:rPr>
              <w:t>.</w:t>
            </w:r>
            <w:r>
              <w:rPr>
                <w:rFonts w:hint="default" w:eastAsia="Times New Roman" w:cs="Times New Roman"/>
                <w:sz w:val="22"/>
                <w:lang w:val="en-US" w:eastAsia="ru-RU"/>
              </w:rPr>
              <w:t>10</w:t>
            </w:r>
            <w:r>
              <w:rPr>
                <w:rFonts w:eastAsia="Times New Roman" w:cs="Times New Roman"/>
                <w:sz w:val="22"/>
                <w:lang w:eastAsia="ru-RU"/>
              </w:rPr>
              <w:t>.202</w:t>
            </w:r>
            <w:r>
              <w:rPr>
                <w:rFonts w:hint="default" w:eastAsia="Times New Roman" w:cs="Times New Roman"/>
                <w:sz w:val="22"/>
                <w:lang w:val="en-US" w:eastAsia="ru-RU"/>
              </w:rPr>
              <w:t>5</w:t>
            </w:r>
          </w:p>
        </w:tc>
        <w:tc>
          <w:tcPr>
            <w:tcW w:w="3428" w:type="pct"/>
          </w:tcPr>
          <w:p w14:paraId="65809154">
            <w:pPr>
              <w:ind w:firstLine="0"/>
              <w:jc w:val="left"/>
              <w:rPr>
                <w:rFonts w:hint="default" w:cs="Times New Roman"/>
                <w:b/>
                <w:bCs/>
                <w:sz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lang w:val="ru-RU"/>
              </w:rPr>
              <w:t>Ганичкин</w:t>
            </w:r>
            <w:r>
              <w:rPr>
                <w:rFonts w:hint="default" w:cs="Times New Roman"/>
                <w:b/>
                <w:bCs/>
                <w:sz w:val="22"/>
                <w:lang w:val="ru-RU"/>
              </w:rPr>
              <w:t xml:space="preserve"> Николай Александрович </w:t>
            </w:r>
          </w:p>
          <w:p w14:paraId="371DEF26">
            <w:pPr>
              <w:ind w:left="0" w:leftChars="0" w:firstLine="0" w:firstLineChars="0"/>
              <w:rPr>
                <w:sz w:val="22"/>
                <w:szCs w:val="21"/>
              </w:rPr>
            </w:pPr>
            <w:r>
              <w:rPr>
                <w:rFonts w:hint="default"/>
                <w:sz w:val="22"/>
                <w:szCs w:val="21"/>
                <w:lang w:val="ru-RU"/>
              </w:rPr>
              <w:t xml:space="preserve">664048, </w:t>
            </w:r>
            <w:r>
              <w:rPr>
                <w:sz w:val="22"/>
                <w:szCs w:val="21"/>
              </w:rPr>
              <w:t>г. Иркутск, ул. Баумана, д. 212</w:t>
            </w:r>
          </w:p>
          <w:p w14:paraId="034E3F1F">
            <w:pPr>
              <w:ind w:left="0" w:leftChars="0" w:firstLine="0" w:firstLineChars="0"/>
              <w:rPr>
                <w:rFonts w:hint="default"/>
                <w:sz w:val="22"/>
                <w:szCs w:val="21"/>
              </w:rPr>
            </w:pPr>
          </w:p>
          <w:p w14:paraId="5D7B8D8D">
            <w:pPr>
              <w:ind w:left="0" w:leftChars="0" w:firstLine="0" w:firstLineChars="0"/>
              <w:rPr>
                <w:rFonts w:hint="default"/>
                <w:sz w:val="22"/>
                <w:szCs w:val="21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1"/>
                <w:lang w:val="ru-RU"/>
              </w:rPr>
              <w:t>ПАО «Сбербанк»</w:t>
            </w:r>
          </w:p>
          <w:p w14:paraId="7A1FBF9C">
            <w:pPr>
              <w:ind w:left="0" w:leftChars="0" w:firstLine="0" w:firstLineChars="0"/>
              <w:rPr>
                <w:rFonts w:hint="default"/>
                <w:sz w:val="22"/>
                <w:szCs w:val="21"/>
              </w:rPr>
            </w:pPr>
            <w:r>
              <w:rPr>
                <w:sz w:val="22"/>
                <w:szCs w:val="21"/>
              </w:rPr>
              <w:t>117312</w:t>
            </w:r>
            <w:r>
              <w:rPr>
                <w:rFonts w:hint="default"/>
                <w:sz w:val="22"/>
                <w:szCs w:val="21"/>
              </w:rPr>
              <w:t>, город Москва, ул. Вавилова, д.19</w:t>
            </w:r>
          </w:p>
          <w:p w14:paraId="76463C6A">
            <w:pPr>
              <w:ind w:firstLine="0"/>
              <w:jc w:val="left"/>
              <w:rPr>
                <w:rFonts w:cs="Times New Roman"/>
                <w:lang w:eastAsia="ru-RU"/>
              </w:rPr>
            </w:pPr>
            <w:r>
              <w:rPr>
                <w:rFonts w:hint="default"/>
                <w:sz w:val="22"/>
                <w:szCs w:val="21"/>
              </w:rPr>
              <w:t> </w:t>
            </w:r>
          </w:p>
        </w:tc>
      </w:tr>
    </w:tbl>
    <w:p w14:paraId="16164FF7">
      <w:pPr>
        <w:ind w:firstLine="0"/>
        <w:jc w:val="center"/>
        <w:rPr>
          <w:b/>
          <w:sz w:val="22"/>
        </w:rPr>
      </w:pPr>
    </w:p>
    <w:p w14:paraId="4C50BCC1">
      <w:pPr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Уведомление</w:t>
      </w:r>
      <w:r>
        <w:rPr>
          <w:rFonts w:hint="default"/>
          <w:b/>
          <w:sz w:val="22"/>
          <w:lang w:val="ru-RU"/>
        </w:rPr>
        <w:t xml:space="preserve"> о внесении изменений в положение о порядке, условиях и сроках реализации имущества</w:t>
      </w:r>
    </w:p>
    <w:p w14:paraId="1C2B5D2A">
      <w:pPr>
        <w:rPr>
          <w:rFonts w:hint="default"/>
          <w:b/>
          <w:sz w:val="22"/>
          <w:lang w:val="ru-RU"/>
        </w:rPr>
      </w:pPr>
    </w:p>
    <w:p w14:paraId="54654E31">
      <w:pPr>
        <w:jc w:val="both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Иркутской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20.05.2025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19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7305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 xml:space="preserve">5 </w:t>
      </w:r>
      <w:r>
        <w:rPr>
          <w:sz w:val="22"/>
          <w:szCs w:val="22"/>
        </w:rPr>
        <w:t>признан</w:t>
      </w:r>
      <w:r>
        <w:rPr>
          <w:rFonts w:hint="default"/>
          <w:sz w:val="22"/>
          <w:szCs w:val="22"/>
          <w:lang w:val="ru-RU"/>
        </w:rPr>
        <w:t xml:space="preserve"> несостоятельным</w:t>
      </w:r>
      <w:r>
        <w:rPr>
          <w:sz w:val="22"/>
          <w:szCs w:val="22"/>
        </w:rPr>
        <w:t xml:space="preserve"> </w:t>
      </w:r>
      <w:r>
        <w:rPr>
          <w:rFonts w:hint="default"/>
          <w:sz w:val="22"/>
          <w:szCs w:val="22"/>
          <w:lang w:val="ru-RU"/>
        </w:rPr>
        <w:t>(</w:t>
      </w:r>
      <w:r>
        <w:rPr>
          <w:sz w:val="22"/>
          <w:szCs w:val="22"/>
        </w:rPr>
        <w:t>банкротом</w:t>
      </w:r>
      <w:r>
        <w:rPr>
          <w:rFonts w:hint="default"/>
          <w:sz w:val="22"/>
          <w:szCs w:val="22"/>
          <w:lang w:val="ru-RU"/>
        </w:rPr>
        <w:t>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lang w:val="ru-RU"/>
        </w:rPr>
        <w:t>Ганичкин</w:t>
      </w:r>
      <w:r>
        <w:rPr>
          <w:rFonts w:hint="default"/>
          <w:b/>
          <w:bCs/>
          <w:sz w:val="22"/>
          <w:szCs w:val="22"/>
          <w:lang w:val="ru-RU"/>
        </w:rPr>
        <w:t xml:space="preserve"> Николай Александрович</w:t>
      </w:r>
      <w:r>
        <w:rPr>
          <w:rFonts w:hint="default" w:cs="Times New Roman"/>
          <w:b/>
          <w:bCs/>
          <w:sz w:val="22"/>
          <w:lang w:val="ru-RU"/>
        </w:rPr>
        <w:t xml:space="preserve"> </w:t>
      </w:r>
      <w:r>
        <w:rPr>
          <w:sz w:val="22"/>
          <w:szCs w:val="21"/>
        </w:rPr>
        <w:t>(дата и место рождения: 21.02.1989, Иркутская область, Качугский район, дер. Ново – Харбатова, СНИЛС 163-175- 378 69, ИНН 383002444817, адрес: Иркутская область, Иркутский район, микрорайон</w:t>
      </w:r>
      <w:r>
        <w:rPr>
          <w:rFonts w:hint="default"/>
          <w:sz w:val="22"/>
          <w:szCs w:val="21"/>
          <w:lang w:val="ru-RU"/>
        </w:rPr>
        <w:t xml:space="preserve"> </w:t>
      </w:r>
      <w:r>
        <w:rPr>
          <w:sz w:val="22"/>
          <w:szCs w:val="21"/>
        </w:rPr>
        <w:t>Южный возле садоводства «Горка», ДНТ «Исток», ул. Кленовая, д. 17, почтовый адрес: г. Иркутск, ул. Баумана, д. 212)</w:t>
      </w:r>
      <w:r>
        <w:rPr>
          <w:sz w:val="22"/>
        </w:rPr>
        <w:t xml:space="preserve"> </w:t>
      </w:r>
      <w:r>
        <w:rPr>
          <w:rFonts w:hint="default"/>
          <w:sz w:val="22"/>
          <w:lang w:val="ru-RU"/>
        </w:rPr>
        <w:t xml:space="preserve"> и в отношении него введена процедура реализации имущества. </w:t>
      </w:r>
    </w:p>
    <w:p w14:paraId="10863C15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Финансовым управляющим утверждена </w:t>
      </w:r>
      <w:r>
        <w:rPr>
          <w:rFonts w:eastAsia="Arial Unicode MS"/>
          <w:iCs/>
          <w:kern w:val="2"/>
          <w:sz w:val="22"/>
          <w:szCs w:val="22"/>
        </w:rPr>
        <w:t>Кубрак Екатерина Александровна</w:t>
      </w:r>
      <w:r>
        <w:rPr>
          <w:sz w:val="22"/>
          <w:szCs w:val="22"/>
        </w:rPr>
        <w:t xml:space="preserve"> (ИНН 246417014946, СНИЛС 159-752-736 18, рег.№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 </w:t>
      </w:r>
    </w:p>
    <w:p w14:paraId="5F654AF5">
      <w:pPr>
        <w:pStyle w:val="9"/>
        <w:spacing w:before="0" w:after="0"/>
        <w:ind w:firstLine="709"/>
        <w:rPr>
          <w:rFonts w:hint="default"/>
          <w:sz w:val="22"/>
          <w:lang w:val="ru-RU"/>
        </w:rPr>
      </w:pPr>
      <w:r>
        <w:rPr>
          <w:sz w:val="22"/>
          <w:szCs w:val="22"/>
          <w:lang w:val="ru-RU"/>
        </w:rPr>
        <w:t>Финансовым</w:t>
      </w:r>
      <w:r>
        <w:rPr>
          <w:rFonts w:hint="default"/>
          <w:sz w:val="22"/>
          <w:szCs w:val="22"/>
          <w:lang w:val="ru-RU"/>
        </w:rPr>
        <w:t xml:space="preserve"> управляющим выявлено следующее имущество, подлежащее реализации в рамках процедуры банкротства: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седан </w:t>
      </w:r>
      <w:r>
        <w:rPr>
          <w:rFonts w:hint="default"/>
          <w:sz w:val="22"/>
          <w:szCs w:val="22"/>
          <w:lang w:val="en-US"/>
        </w:rPr>
        <w:t>DAEWOO LACETTI</w:t>
      </w:r>
      <w:r>
        <w:rPr>
          <w:rFonts w:hint="default"/>
          <w:sz w:val="22"/>
          <w:szCs w:val="22"/>
          <w:lang w:val="ru-RU"/>
        </w:rPr>
        <w:t xml:space="preserve">, 2009 г.в., </w:t>
      </w:r>
      <w:r>
        <w:rPr>
          <w:rFonts w:hint="default"/>
          <w:sz w:val="22"/>
          <w:szCs w:val="22"/>
          <w:lang w:val="en-US"/>
        </w:rPr>
        <w:t>VIN KLAJA69ED9K144391</w:t>
      </w:r>
      <w:r>
        <w:rPr>
          <w:rFonts w:hint="default"/>
          <w:sz w:val="22"/>
          <w:szCs w:val="22"/>
          <w:lang w:val="ru-RU"/>
        </w:rPr>
        <w:t xml:space="preserve">, № кузова </w:t>
      </w:r>
      <w:r>
        <w:rPr>
          <w:rFonts w:hint="default"/>
          <w:sz w:val="22"/>
          <w:szCs w:val="22"/>
          <w:lang w:val="en-US"/>
        </w:rPr>
        <w:t>KLAJA69ED9K144391</w:t>
      </w:r>
      <w:r>
        <w:rPr>
          <w:rFonts w:hint="default"/>
          <w:sz w:val="22"/>
          <w:szCs w:val="22"/>
          <w:lang w:val="ru-RU"/>
        </w:rPr>
        <w:t xml:space="preserve">, ГРЗ У751ХН38, цвет черный. </w:t>
      </w:r>
    </w:p>
    <w:p w14:paraId="0A63F18F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Финансовым управляющим произведена оценка указанного имущества, разработан проект положения о порядке, условиях и сроках реализации имущества, назначено собрание кредиторов по вопросу утверждения указанного положения на 14.11.2025 г. </w:t>
      </w:r>
    </w:p>
    <w:p w14:paraId="25673926">
      <w:pPr>
        <w:pStyle w:val="9"/>
        <w:spacing w:before="0" w:after="0"/>
        <w:ind w:firstLine="709"/>
        <w:rPr>
          <w:rFonts w:hint="default"/>
          <w:b/>
          <w:bCs/>
          <w:sz w:val="22"/>
          <w:szCs w:val="21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В адрес финансового управляющего от ПАО «Сбербанк» поступил протокол разногласий, согласно которому последний просит: </w:t>
      </w:r>
      <w:r>
        <w:rPr>
          <w:sz w:val="22"/>
          <w:szCs w:val="21"/>
        </w:rPr>
        <w:t xml:space="preserve">Установить цену отсечения в размере 40% </w:t>
      </w:r>
      <w:r>
        <w:rPr>
          <w:b/>
          <w:bCs/>
          <w:sz w:val="22"/>
          <w:szCs w:val="21"/>
        </w:rPr>
        <w:t>от начальной продажной стоимости.</w:t>
      </w:r>
    </w:p>
    <w:p w14:paraId="7ED6082A">
      <w:pPr>
        <w:shd w:val="clear" w:color="auto" w:fill="FFFFFF"/>
        <w:ind w:firstLine="709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sz w:val="22"/>
          <w:szCs w:val="22"/>
        </w:rPr>
        <w:t xml:space="preserve">В связи с поступившим заявлением о наличии разногласий с положением финансового управляющего о </w:t>
      </w:r>
      <w:r>
        <w:rPr>
          <w:color w:val="1A1A1A"/>
          <w:sz w:val="22"/>
          <w:szCs w:val="22"/>
        </w:rPr>
        <w:t xml:space="preserve">порядке, сроках и условиях реализации имущества </w:t>
      </w:r>
      <w:r>
        <w:rPr>
          <w:color w:val="1A1A1A"/>
          <w:sz w:val="22"/>
          <w:szCs w:val="22"/>
          <w:lang w:val="ru-RU"/>
        </w:rPr>
        <w:t>финансовый</w:t>
      </w:r>
      <w:r>
        <w:rPr>
          <w:rFonts w:hint="default"/>
          <w:color w:val="1A1A1A"/>
          <w:sz w:val="22"/>
          <w:szCs w:val="22"/>
          <w:lang w:val="ru-RU"/>
        </w:rPr>
        <w:t xml:space="preserve"> управляющий считает возможным внести корректировки в проект указанного положения с учетом следующим обстоятельств: </w:t>
      </w:r>
    </w:p>
    <w:p w14:paraId="7BE4F791">
      <w:pPr>
        <w:shd w:val="clear" w:color="auto" w:fill="FFFFFF"/>
        <w:ind w:firstLine="709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rFonts w:hint="default"/>
          <w:color w:val="1A1A1A"/>
          <w:sz w:val="22"/>
          <w:szCs w:val="22"/>
          <w:lang w:val="ru-RU"/>
        </w:rPr>
        <w:t xml:space="preserve">При проведении повторного открытого аукциона начальная цена на данном аукционе устанавливается на 10% ниже начальной продажной стоимости, т.е. 446 000 - 10% = 401 000 рублей. Рассмотрим два варианта исхода событий: </w:t>
      </w:r>
    </w:p>
    <w:p w14:paraId="102A3095">
      <w:pPr>
        <w:numPr>
          <w:ilvl w:val="0"/>
          <w:numId w:val="2"/>
        </w:numPr>
        <w:shd w:val="clear" w:color="auto" w:fill="FFFFFF"/>
        <w:ind w:firstLine="709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rFonts w:hint="default"/>
          <w:color w:val="1A1A1A"/>
          <w:sz w:val="22"/>
          <w:szCs w:val="22"/>
          <w:lang w:val="ru-RU"/>
        </w:rPr>
        <w:t xml:space="preserve">Реализации имущества посредством публичного предложения по предложенному ПАО «Сбербанк» порядку (цена отсечения- 40% от начальной продажной стоимости): </w:t>
      </w:r>
    </w:p>
    <w:p w14:paraId="39E96207">
      <w:pPr>
        <w:numPr>
          <w:numId w:val="0"/>
        </w:numPr>
        <w:shd w:val="clear" w:color="auto" w:fill="FFFFFF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rFonts w:hint="default"/>
          <w:color w:val="1A1A1A"/>
          <w:sz w:val="22"/>
          <w:szCs w:val="22"/>
          <w:lang w:val="ru-RU"/>
        </w:rPr>
        <w:t xml:space="preserve">           Порог отсечения 40% от начальной продажной стоимости: 446 000 рублей - 60 % = 178 400 руб.</w:t>
      </w:r>
    </w:p>
    <w:p w14:paraId="6851EF46">
      <w:pPr>
        <w:numPr>
          <w:numId w:val="0"/>
        </w:numPr>
        <w:shd w:val="clear" w:color="auto" w:fill="FFFFFF"/>
        <w:jc w:val="both"/>
        <w:rPr>
          <w:rFonts w:hint="default"/>
          <w:color w:val="1A1A1A"/>
          <w:sz w:val="22"/>
          <w:szCs w:val="22"/>
          <w:lang w:val="ru-RU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785"/>
        <w:gridCol w:w="4786"/>
      </w:tblGrid>
      <w:tr w14:paraId="400E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76D0B0EE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446 000 руб. </w:t>
            </w:r>
          </w:p>
        </w:tc>
        <w:tc>
          <w:tcPr>
            <w:tcW w:w="4786" w:type="dxa"/>
          </w:tcPr>
          <w:p w14:paraId="04E61208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100%</w:t>
            </w:r>
          </w:p>
        </w:tc>
      </w:tr>
      <w:tr w14:paraId="0E83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1E4F0572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401 400 руб. </w:t>
            </w:r>
          </w:p>
        </w:tc>
        <w:tc>
          <w:tcPr>
            <w:tcW w:w="4786" w:type="dxa"/>
          </w:tcPr>
          <w:p w14:paraId="60D32B7E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90%</w:t>
            </w:r>
          </w:p>
        </w:tc>
      </w:tr>
      <w:tr w14:paraId="01F2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0332BA04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356 800 руб. </w:t>
            </w:r>
          </w:p>
        </w:tc>
        <w:tc>
          <w:tcPr>
            <w:tcW w:w="4786" w:type="dxa"/>
          </w:tcPr>
          <w:p w14:paraId="6996A8CD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80%</w:t>
            </w:r>
          </w:p>
        </w:tc>
      </w:tr>
      <w:tr w14:paraId="0799B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47078D61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312 200 руб. </w:t>
            </w:r>
          </w:p>
        </w:tc>
        <w:tc>
          <w:tcPr>
            <w:tcW w:w="4786" w:type="dxa"/>
          </w:tcPr>
          <w:p w14:paraId="1564EF87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70%</w:t>
            </w:r>
          </w:p>
        </w:tc>
      </w:tr>
      <w:tr w14:paraId="2C0C8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1FC7DCEF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267 600 руб. </w:t>
            </w:r>
          </w:p>
        </w:tc>
        <w:tc>
          <w:tcPr>
            <w:tcW w:w="4786" w:type="dxa"/>
          </w:tcPr>
          <w:p w14:paraId="21EBECC8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60%</w:t>
            </w:r>
          </w:p>
        </w:tc>
      </w:tr>
      <w:tr w14:paraId="41D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1F67E86A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223 000 руб. </w:t>
            </w:r>
          </w:p>
        </w:tc>
        <w:tc>
          <w:tcPr>
            <w:tcW w:w="4786" w:type="dxa"/>
          </w:tcPr>
          <w:p w14:paraId="6E5B2FE6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50%</w:t>
            </w:r>
          </w:p>
        </w:tc>
      </w:tr>
      <w:tr w14:paraId="0C2C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785" w:type="dxa"/>
          </w:tcPr>
          <w:p w14:paraId="3E0A688F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178 400 руб. </w:t>
            </w:r>
          </w:p>
        </w:tc>
        <w:tc>
          <w:tcPr>
            <w:tcW w:w="4786" w:type="dxa"/>
          </w:tcPr>
          <w:p w14:paraId="72EC09AE">
            <w:pPr>
              <w:numPr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40%</w:t>
            </w:r>
          </w:p>
        </w:tc>
      </w:tr>
    </w:tbl>
    <w:p w14:paraId="5FDA74AC">
      <w:pPr>
        <w:numPr>
          <w:numId w:val="0"/>
        </w:numPr>
        <w:shd w:val="clear" w:color="auto" w:fill="FFFFFF"/>
        <w:jc w:val="both"/>
        <w:rPr>
          <w:rFonts w:hint="default"/>
          <w:color w:val="1A1A1A"/>
          <w:sz w:val="22"/>
          <w:szCs w:val="22"/>
          <w:lang w:val="ru-RU"/>
        </w:rPr>
      </w:pPr>
    </w:p>
    <w:p w14:paraId="67FB6A26">
      <w:pPr>
        <w:numPr>
          <w:ilvl w:val="0"/>
          <w:numId w:val="2"/>
        </w:numPr>
        <w:shd w:val="clear" w:color="auto" w:fill="FFFFFF"/>
        <w:ind w:firstLine="709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rFonts w:hint="default"/>
          <w:color w:val="1A1A1A"/>
          <w:sz w:val="22"/>
          <w:szCs w:val="22"/>
          <w:lang w:val="ru-RU"/>
        </w:rPr>
        <w:t xml:space="preserve">Реализации имущества посредством публичного предложения при цене отсечения, равной 40% от </w:t>
      </w:r>
      <w:r>
        <w:rPr>
          <w:rFonts w:hint="default"/>
          <w:b/>
          <w:bCs/>
          <w:color w:val="1A1A1A"/>
          <w:sz w:val="22"/>
          <w:szCs w:val="22"/>
          <w:lang w:val="ru-RU"/>
        </w:rPr>
        <w:t xml:space="preserve">начальной цены на публичном предложении: </w:t>
      </w:r>
    </w:p>
    <w:p w14:paraId="6BAD44E3">
      <w:pPr>
        <w:numPr>
          <w:numId w:val="0"/>
        </w:numPr>
        <w:shd w:val="clear" w:color="auto" w:fill="FFFFFF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rFonts w:hint="default"/>
          <w:b/>
          <w:bCs/>
          <w:color w:val="1A1A1A"/>
          <w:sz w:val="22"/>
          <w:szCs w:val="22"/>
          <w:lang w:val="ru-RU"/>
        </w:rPr>
        <w:t xml:space="preserve">        </w:t>
      </w:r>
      <w:r>
        <w:rPr>
          <w:rFonts w:hint="default"/>
          <w:b w:val="0"/>
          <w:bCs w:val="0"/>
          <w:color w:val="1A1A1A"/>
          <w:sz w:val="22"/>
          <w:szCs w:val="22"/>
          <w:lang w:val="ru-RU"/>
        </w:rPr>
        <w:t xml:space="preserve">     Начальная цена на публичном предложении - начальная цена на повторном аукицоне, т.е. 401 400 руб.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DF5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89A62D0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401 400 руб.</w:t>
            </w:r>
          </w:p>
        </w:tc>
        <w:tc>
          <w:tcPr>
            <w:tcW w:w="4786" w:type="dxa"/>
          </w:tcPr>
          <w:p w14:paraId="4D977CD3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100%</w:t>
            </w:r>
          </w:p>
        </w:tc>
      </w:tr>
      <w:tr w14:paraId="3253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07DA6DF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361 260 руб. </w:t>
            </w:r>
          </w:p>
        </w:tc>
        <w:tc>
          <w:tcPr>
            <w:tcW w:w="4786" w:type="dxa"/>
          </w:tcPr>
          <w:p w14:paraId="3A637F29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90%</w:t>
            </w:r>
          </w:p>
        </w:tc>
      </w:tr>
      <w:tr w14:paraId="0AB3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A25F869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321 120 руб.</w:t>
            </w:r>
          </w:p>
        </w:tc>
        <w:tc>
          <w:tcPr>
            <w:tcW w:w="4786" w:type="dxa"/>
          </w:tcPr>
          <w:p w14:paraId="6FB1EF8C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80%</w:t>
            </w:r>
          </w:p>
        </w:tc>
      </w:tr>
      <w:tr w14:paraId="122D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2F268E4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280 980 руб.</w:t>
            </w:r>
          </w:p>
        </w:tc>
        <w:tc>
          <w:tcPr>
            <w:tcW w:w="4786" w:type="dxa"/>
          </w:tcPr>
          <w:p w14:paraId="200355C0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70%</w:t>
            </w:r>
          </w:p>
        </w:tc>
      </w:tr>
      <w:tr w14:paraId="37B75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9840323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240 840 руб. </w:t>
            </w:r>
          </w:p>
        </w:tc>
        <w:tc>
          <w:tcPr>
            <w:tcW w:w="4786" w:type="dxa"/>
          </w:tcPr>
          <w:p w14:paraId="5F270BD9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60%</w:t>
            </w:r>
          </w:p>
        </w:tc>
      </w:tr>
      <w:tr w14:paraId="48E0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75B5E67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200 700 руб. </w:t>
            </w:r>
          </w:p>
        </w:tc>
        <w:tc>
          <w:tcPr>
            <w:tcW w:w="4786" w:type="dxa"/>
          </w:tcPr>
          <w:p w14:paraId="3AE3467B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50%</w:t>
            </w:r>
          </w:p>
        </w:tc>
      </w:tr>
      <w:tr w14:paraId="0D7B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43D96E1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 xml:space="preserve">160 560 руб. </w:t>
            </w:r>
          </w:p>
        </w:tc>
        <w:tc>
          <w:tcPr>
            <w:tcW w:w="4786" w:type="dxa"/>
          </w:tcPr>
          <w:p w14:paraId="7B83E7E6">
            <w:pPr>
              <w:numPr>
                <w:ilvl w:val="0"/>
                <w:numId w:val="0"/>
              </w:numPr>
              <w:jc w:val="both"/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color w:val="1A1A1A"/>
                <w:sz w:val="22"/>
                <w:szCs w:val="22"/>
                <w:vertAlign w:val="baseline"/>
                <w:lang w:val="ru-RU"/>
              </w:rPr>
              <w:t>40%</w:t>
            </w:r>
          </w:p>
        </w:tc>
      </w:tr>
    </w:tbl>
    <w:p w14:paraId="7F2BF28C">
      <w:pPr>
        <w:shd w:val="clear" w:color="auto" w:fill="FFFFFF"/>
        <w:ind w:firstLine="709"/>
        <w:jc w:val="both"/>
        <w:rPr>
          <w:sz w:val="22"/>
          <w:szCs w:val="22"/>
        </w:rPr>
      </w:pPr>
    </w:p>
    <w:p w14:paraId="1D659B2D">
      <w:pPr>
        <w:shd w:val="clear" w:color="auto" w:fill="FFFFFF"/>
        <w:ind w:firstLine="709"/>
        <w:jc w:val="both"/>
        <w:rPr>
          <w:rFonts w:hint="default"/>
          <w:color w:val="1A1A1A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Таким</w:t>
      </w:r>
      <w:r>
        <w:rPr>
          <w:rFonts w:hint="default"/>
          <w:sz w:val="22"/>
          <w:szCs w:val="22"/>
          <w:lang w:val="ru-RU"/>
        </w:rPr>
        <w:t xml:space="preserve"> образом, финансовый управляющий считает, что реализация имущества должника при условии </w:t>
      </w:r>
      <w:r>
        <w:rPr>
          <w:sz w:val="22"/>
          <w:szCs w:val="22"/>
        </w:rPr>
        <w:t xml:space="preserve">от </w:t>
      </w:r>
      <w:r>
        <w:rPr>
          <w:rFonts w:hint="default"/>
          <w:color w:val="1A1A1A"/>
          <w:sz w:val="22"/>
          <w:szCs w:val="22"/>
          <w:lang w:val="ru-RU"/>
        </w:rPr>
        <w:t xml:space="preserve">цена отсечения в размере 40% от начальной продажной стоимости невозможна, поскольку начальной ценой на публичном предложении необходимо будет установить начальную продажную стоимость, т.е. 446 000 рублей, что приведет к нарушению Закона о банкротстве, а также необоснованному затягиванию процедуры реализации имущества. </w:t>
      </w:r>
    </w:p>
    <w:p w14:paraId="3DA9346E">
      <w:pPr>
        <w:shd w:val="clear" w:color="auto" w:fill="FFFFFF"/>
        <w:ind w:firstLine="709"/>
        <w:jc w:val="both"/>
        <w:rPr>
          <w:rFonts w:hint="default" w:cs="Times New Roman"/>
          <w:sz w:val="22"/>
          <w:szCs w:val="22"/>
          <w:lang w:val="ru-RU"/>
        </w:rPr>
      </w:pPr>
      <w:r>
        <w:rPr>
          <w:rFonts w:hint="default" w:cs="Times New Roman"/>
          <w:sz w:val="22"/>
          <w:szCs w:val="22"/>
          <w:lang w:val="ru-RU"/>
        </w:rPr>
        <w:t xml:space="preserve">В связи с вышеуказанным, финансовый управляющий считает, что имеются основания для внесения измнений в положение о порядке, условиях и сроках реализации имущества Ганичкина Н.А., а именно: </w:t>
      </w:r>
    </w:p>
    <w:p w14:paraId="5A3B4637">
      <w:pPr>
        <w:shd w:val="clear" w:color="auto" w:fill="FFFFFF"/>
        <w:ind w:firstLine="709"/>
        <w:jc w:val="both"/>
        <w:rPr>
          <w:rFonts w:hint="default" w:cs="Times New Roman"/>
          <w:b/>
          <w:bCs/>
          <w:sz w:val="22"/>
          <w:lang w:val="ru-RU"/>
        </w:rPr>
      </w:pPr>
      <w:r>
        <w:rPr>
          <w:b/>
          <w:bCs/>
          <w:sz w:val="22"/>
          <w:szCs w:val="22"/>
        </w:rPr>
        <w:t xml:space="preserve">- </w:t>
      </w:r>
      <w:r>
        <w:rPr>
          <w:b/>
          <w:bCs/>
          <w:color w:val="1A1A1A"/>
          <w:sz w:val="22"/>
          <w:szCs w:val="22"/>
        </w:rPr>
        <w:t>установить</w:t>
      </w:r>
      <w:r>
        <w:rPr>
          <w:rFonts w:hint="default"/>
          <w:b/>
          <w:bCs/>
          <w:sz w:val="22"/>
          <w:szCs w:val="22"/>
          <w:lang w:val="ru-RU"/>
        </w:rPr>
        <w:t xml:space="preserve"> цену отсечения </w:t>
      </w:r>
      <w:r>
        <w:rPr>
          <w:rFonts w:cs="Times New Roman"/>
          <w:b/>
          <w:bCs/>
          <w:sz w:val="22"/>
        </w:rPr>
        <w:t>снижения начальной цены продажи Имущества</w:t>
      </w:r>
      <w:r>
        <w:rPr>
          <w:rFonts w:hint="default" w:cs="Times New Roman"/>
          <w:b/>
          <w:bCs/>
          <w:sz w:val="22"/>
          <w:lang w:val="ru-RU"/>
        </w:rPr>
        <w:t xml:space="preserve"> в размере 40</w:t>
      </w:r>
      <w:r>
        <w:rPr>
          <w:rFonts w:cs="Times New Roman"/>
          <w:b/>
          <w:bCs/>
          <w:sz w:val="22"/>
        </w:rPr>
        <w:t xml:space="preserve">% от начальной </w:t>
      </w:r>
      <w:r>
        <w:rPr>
          <w:rFonts w:cs="Times New Roman"/>
          <w:b/>
          <w:bCs/>
          <w:sz w:val="22"/>
          <w:lang w:val="ru-RU"/>
        </w:rPr>
        <w:t>цены</w:t>
      </w:r>
      <w:r>
        <w:rPr>
          <w:rFonts w:hint="default" w:cs="Times New Roman"/>
          <w:b/>
          <w:bCs/>
          <w:sz w:val="22"/>
          <w:lang w:val="ru-RU"/>
        </w:rPr>
        <w:t xml:space="preserve"> Публичного предложения. </w:t>
      </w:r>
    </w:p>
    <w:p w14:paraId="7C01FC2B">
      <w:pPr>
        <w:shd w:val="clear" w:color="auto" w:fill="FFFFFF"/>
        <w:ind w:firstLine="709"/>
        <w:jc w:val="both"/>
        <w:rPr>
          <w:rFonts w:hint="default" w:cs="Times New Roman"/>
          <w:sz w:val="22"/>
          <w:lang w:val="ru-RU"/>
        </w:rPr>
      </w:pPr>
    </w:p>
    <w:p w14:paraId="5B762DDE">
      <w:pPr>
        <w:shd w:val="clear" w:color="auto" w:fill="FFFFFF"/>
        <w:ind w:firstLine="709"/>
        <w:jc w:val="both"/>
        <w:rPr>
          <w:rFonts w:hint="default" w:cs="Times New Roman"/>
          <w:sz w:val="22"/>
          <w:lang w:val="ru-RU"/>
        </w:rPr>
      </w:pPr>
      <w:r>
        <w:rPr>
          <w:rFonts w:hint="default" w:cs="Times New Roman"/>
          <w:sz w:val="22"/>
          <w:lang w:val="ru-RU"/>
        </w:rPr>
        <w:t xml:space="preserve">Финансовый управляющий </w:t>
      </w:r>
      <w:bookmarkStart w:id="1" w:name="_GoBack"/>
      <w:bookmarkEnd w:id="1"/>
    </w:p>
    <w:p w14:paraId="075FD5D4">
      <w:pPr>
        <w:pStyle w:val="9"/>
        <w:spacing w:before="0" w:after="0"/>
        <w:ind w:firstLine="0"/>
        <w:rPr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12065</wp:posOffset>
            </wp:positionV>
            <wp:extent cx="2196465" cy="1464945"/>
            <wp:effectExtent l="0" t="0" r="13335" b="13335"/>
            <wp:wrapThrough wrapText="bothSides">
              <wp:wrapPolygon>
                <wp:start x="0" y="0"/>
                <wp:lineTo x="0" y="21347"/>
                <wp:lineTo x="21431" y="21347"/>
                <wp:lineTo x="21431" y="0"/>
                <wp:lineTo x="0" y="0"/>
              </wp:wrapPolygon>
            </wp:wrapThrough>
            <wp:docPr id="2" name="Изображение 1" descr="кубр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кубра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0FE55">
      <w:pPr>
        <w:pStyle w:val="9"/>
        <w:spacing w:before="0" w:after="0"/>
        <w:ind w:firstLine="709"/>
        <w:rPr>
          <w:rFonts w:hint="default" w:cs="Times New Roman"/>
          <w:sz w:val="22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2A17572"/>
    <w:multiLevelType w:val="singleLevel"/>
    <w:tmpl w:val="91185DDB"/>
    <w:lvl w:ilvl="0" w:tentative="0">
      <w:start w:val="1"/>
      <w:numFmt w:val="decimal"/>
      <w:suff w:val="space"/>
      <w:lvlText w:val="%1."/>
      <w:lvlJc w:val="left"/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4126937"/>
    <w:rsid w:val="159F4DD1"/>
    <w:rsid w:val="17346264"/>
    <w:rsid w:val="26A94427"/>
    <w:rsid w:val="28474ED8"/>
    <w:rsid w:val="34A527C8"/>
    <w:rsid w:val="3E0508DE"/>
    <w:rsid w:val="435B05BC"/>
    <w:rsid w:val="4F963AE5"/>
    <w:rsid w:val="63B25182"/>
    <w:rsid w:val="67EA691A"/>
    <w:rsid w:val="6FB41B2B"/>
    <w:rsid w:val="7036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1808</Words>
  <Characters>12375</Characters>
  <Lines>100</Lines>
  <Paragraphs>28</Paragraphs>
  <TotalTime>1</TotalTime>
  <ScaleCrop>false</ScaleCrop>
  <LinksUpToDate>false</LinksUpToDate>
  <CharactersWithSpaces>14165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2025-10-20T06:28:21Z</cp:lastPrinted>
  <dcterms:modified xsi:type="dcterms:W3CDTF">2025-10-20T06:30:06Z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