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351F235E" w:rsidR="00800F59" w:rsidRDefault="00654194" w:rsidP="00EE06EB">
      <w:pPr>
        <w:widowControl w:val="0"/>
        <w:suppressAutoHyphens/>
        <w:ind w:firstLine="567"/>
        <w:jc w:val="both"/>
      </w:pPr>
      <w:r w:rsidRPr="00654194">
        <w:rPr>
          <w:b/>
          <w:bCs/>
        </w:rPr>
        <w:t>Самолевич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FD244B" w:rsidRPr="00FD244B">
        <w:rPr>
          <w:b/>
          <w:bCs/>
        </w:rPr>
        <w:t>Наумовой Марии Олеговны</w:t>
      </w:r>
      <w:r w:rsidR="00FD244B" w:rsidRPr="00C65E4E">
        <w:t xml:space="preserve"> (дата рождения: 18.05.1997 г., место рождения: ст-ца Ессентукская Предгорного р-на Ставропольского края, СНИЛС: 187-942-756 39, ИНН: 261813333308 , адрес регистрации по месту жительства: 357350, Ставропольский край, ст-ца Ессентукская, ул Ляпидевского, д 42)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FD244B" w:rsidRPr="005911E7">
        <w:t xml:space="preserve">АС </w:t>
      </w:r>
      <w:r w:rsidR="00FD244B" w:rsidRPr="009E32AD">
        <w:t xml:space="preserve">Ставропольского края от </w:t>
      </w:r>
      <w:r w:rsidR="00FD244B">
        <w:t>07</w:t>
      </w:r>
      <w:r w:rsidR="00FD244B" w:rsidRPr="009E32AD">
        <w:t xml:space="preserve">.10.2025 г. по делу № </w:t>
      </w:r>
      <w:r w:rsidR="00FD244B" w:rsidRPr="00C65E4E">
        <w:t>А63-18254/2025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7CC8DA09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FD244B" w:rsidRPr="00FD244B">
        <w:rPr>
          <w:b/>
          <w:bCs/>
        </w:rPr>
        <w:t>Наумовой Марии Олеговны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30"/>
        <w:gridCol w:w="2091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29501200" w14:textId="77777777" w:rsidR="00FD244B" w:rsidRDefault="00654194" w:rsidP="00FD244B">
            <w:r w:rsidRPr="005911E7">
              <w:t>Транспортное средство</w:t>
            </w:r>
            <w:r w:rsidRPr="005911E7">
              <w:br/>
            </w:r>
            <w:r w:rsidR="00FD244B">
              <w:t xml:space="preserve">Марка и(или) модель: PEUGEOT 308 PEUGEOT 308 </w:t>
            </w:r>
          </w:p>
          <w:p w14:paraId="7FCF536D" w14:textId="77777777" w:rsidR="00FD244B" w:rsidRDefault="00FD244B" w:rsidP="00FD244B">
            <w:r>
              <w:t>Год выпуска: 2011</w:t>
            </w:r>
          </w:p>
          <w:p w14:paraId="4FC07D19" w14:textId="77777777" w:rsidR="00FD244B" w:rsidRDefault="00FD244B" w:rsidP="00FD244B">
            <w:r>
              <w:t>Идентификационный номер (VIN): Z8T4C5FS9BM003414</w:t>
            </w:r>
          </w:p>
          <w:p w14:paraId="268C15B4" w14:textId="77777777" w:rsidR="00FD244B" w:rsidRDefault="00FD244B" w:rsidP="00FD244B">
            <w:r>
              <w:t>Цвет: черный</w:t>
            </w:r>
          </w:p>
          <w:p w14:paraId="67296A43" w14:textId="77777777" w:rsidR="00FD244B" w:rsidRDefault="00FD244B" w:rsidP="00FD244B">
            <w:r>
              <w:t>Номер кузова (кабины): Z8T4C5FS9BM003414</w:t>
            </w:r>
          </w:p>
          <w:p w14:paraId="597EB08B" w14:textId="3ADE7E4E" w:rsidR="00263125" w:rsidRPr="00263125" w:rsidRDefault="00FD244B" w:rsidP="00FD244B">
            <w:r>
              <w:t>Гос.  рег. номер: Н650ВР126</w:t>
            </w:r>
            <w:r w:rsidR="00BC332A">
              <w:t>.</w:t>
            </w:r>
          </w:p>
          <w:p w14:paraId="6C47ACA5" w14:textId="6A3B1FCE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FD244B">
              <w:rPr>
                <w:b/>
                <w:bCs/>
              </w:rPr>
              <w:t>440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65FC4A94" w:rsidR="008E7FF0" w:rsidRPr="00EC64A3" w:rsidRDefault="00FD244B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44 0</w:t>
            </w:r>
            <w:r w:rsidR="00CD3264">
              <w:rPr>
                <w:b/>
              </w:rPr>
              <w:t>00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r>
        <w:t>Кор/счет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lastRenderedPageBreak/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654194">
              <w:rPr>
                <w:b/>
                <w:bCs/>
                <w:sz w:val="22"/>
                <w:szCs w:val="22"/>
              </w:rPr>
              <w:t>Самолевич Артем Викторович</w:t>
            </w:r>
          </w:p>
          <w:p w14:paraId="2F001DB9" w14:textId="62BA085C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FD244B" w:rsidRPr="00FD244B">
              <w:rPr>
                <w:sz w:val="22"/>
                <w:szCs w:val="22"/>
              </w:rPr>
              <w:t>АС Ставропольского края от 07.10.2025 г. по делу № А63-18254/2025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654194">
              <w:rPr>
                <w:sz w:val="22"/>
                <w:szCs w:val="22"/>
              </w:rPr>
              <w:t>Самолевич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961C8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244B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5</cp:revision>
  <cp:lastPrinted>2011-05-12T10:51:00Z</cp:lastPrinted>
  <dcterms:created xsi:type="dcterms:W3CDTF">2025-09-02T09:05:00Z</dcterms:created>
  <dcterms:modified xsi:type="dcterms:W3CDTF">2026-07-02T12:22:00Z</dcterms:modified>
</cp:coreProperties>
</file>