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8359C" w:rsidRDefault="0048359C">
      <w:pPr>
        <w:keepNext/>
        <w:jc w:val="both"/>
        <w:rPr>
          <w:sz w:val="24"/>
          <w:szCs w:val="24"/>
        </w:rPr>
      </w:pPr>
      <w:bookmarkStart w:id="0" w:name="_heading=h.iopbu02z678t" w:colFirst="0" w:colLast="0"/>
      <w:bookmarkStart w:id="1" w:name="_GoBack"/>
      <w:bookmarkEnd w:id="0"/>
      <w:bookmarkEnd w:id="1"/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33"/>
          <w:szCs w:val="33"/>
        </w:rPr>
        <w:t xml:space="preserve">        Договор о задатке № ________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right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г. Казань                                                                                                                       «____»____________20__г                                                                                                                            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firstLine="142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     ООО «Электронная торговая площадка», именуемое в дальнейшем «Оператор» в лице директора </w:t>
      </w:r>
      <w:proofErr w:type="spellStart"/>
      <w:r>
        <w:rPr>
          <w:color w:val="000000"/>
          <w:sz w:val="21"/>
          <w:szCs w:val="21"/>
        </w:rPr>
        <w:t>Думпе</w:t>
      </w:r>
      <w:proofErr w:type="spellEnd"/>
      <w:r>
        <w:rPr>
          <w:color w:val="000000"/>
          <w:sz w:val="21"/>
          <w:szCs w:val="21"/>
        </w:rPr>
        <w:t xml:space="preserve"> Марины Викторовны, действующего на основании Устава, с одной стороны, и претендент на участие в электронных торгах__________________________________,  в лице____________________________, действующег</w:t>
      </w:r>
      <w:proofErr w:type="gramStart"/>
      <w:r>
        <w:rPr>
          <w:color w:val="000000"/>
          <w:sz w:val="21"/>
          <w:szCs w:val="21"/>
        </w:rPr>
        <w:t>о(</w:t>
      </w:r>
      <w:proofErr w:type="gramEnd"/>
      <w:r>
        <w:rPr>
          <w:color w:val="000000"/>
          <w:sz w:val="21"/>
          <w:szCs w:val="21"/>
        </w:rPr>
        <w:t>-ей) на основании ______________________________________________ , именуемое (-</w:t>
      </w:r>
      <w:proofErr w:type="spellStart"/>
      <w:r>
        <w:rPr>
          <w:color w:val="000000"/>
          <w:sz w:val="21"/>
          <w:szCs w:val="21"/>
        </w:rPr>
        <w:t>ый</w:t>
      </w:r>
      <w:proofErr w:type="spellEnd"/>
      <w:r>
        <w:rPr>
          <w:color w:val="000000"/>
          <w:sz w:val="21"/>
          <w:szCs w:val="21"/>
        </w:rPr>
        <w:t>) в дальнейшем «Заявитель», с другой стороны, заключили настоящий Договор о задатке (далее «Договор») о нижеследующем: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1. Предмет Договора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1.1. </w:t>
      </w:r>
      <w:proofErr w:type="gramStart"/>
      <w:r>
        <w:rPr>
          <w:color w:val="000000"/>
          <w:sz w:val="21"/>
          <w:szCs w:val="21"/>
        </w:rPr>
        <w:t>Предметом   Договора   является   внесение   Заявителем   задатка   (далее   -   Задаток)   для   участия   в   электронных      торгах: код торгов_________________ по  продаже лота № ______________ (в дальнейшем именуемое «имущество»), проводимых на электронной площадке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 по адресу https://torgi.arbbitlot.ru в сети Интернет (далее по тексту – ЭТП), в соответствии с Регламентом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и Приказом Министерства экономического развития Российской Федерации от  23 июля 2015 г. №495</w:t>
      </w:r>
      <w:proofErr w:type="gramEnd"/>
      <w:r>
        <w:rPr>
          <w:color w:val="000000"/>
          <w:sz w:val="21"/>
          <w:szCs w:val="21"/>
        </w:rPr>
        <w:t>. Размер задатка указан в сообщении о торгах, опубликованном в официальном издании.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1.2. Условия настоящего договора определены Оператором в стандартной форме, размещаемой на сайте https://torgi.arbbitlot.ru в сети Интернет, адресованы неопределенному кругу лиц и могут быть приняты Заявителем не иначе, как путем присоединения к настоящему договору в целом.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1.3. Настоящий договор заключается Сторонами в соответствии со статьей 428 Гражданского кодекса Российской Федерации посредством принятия Заявителем условий настоящего договора и его подписания с использованием электронной подписи.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1.4. Заявитель не вправе изменять условия настоящего договора.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2. Порядок и сроки расчетов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2.1. Заявитель должен перечислить задаток на расчетный счет оператора ЭТП в следующем порядке: Задаток вносится в обеспечение исполнения обязательств Заявителя по заключению договора купли-продажи имущества, его оплаты и в счет причитающихся с Заявителя платежей по договору купли-продажи в случае признания Заявителя победителем торгов.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2.2. Заявитель обязуется перечислить Задаток в следующий срок: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для участия в аукционе или конкурсе - в </w:t>
      </w:r>
      <w:proofErr w:type="gramStart"/>
      <w:r>
        <w:rPr>
          <w:color w:val="000000"/>
          <w:sz w:val="21"/>
          <w:szCs w:val="21"/>
        </w:rPr>
        <w:t>срок</w:t>
      </w:r>
      <w:proofErr w:type="gramEnd"/>
      <w:r>
        <w:rPr>
          <w:color w:val="000000"/>
          <w:sz w:val="21"/>
          <w:szCs w:val="21"/>
        </w:rPr>
        <w:t xml:space="preserve"> установленный в соответствии с сообщением о торгах,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торгах, проводимых посредством публичного предложения - не позднее последнего дня периода действия цены (определенного периода проведения торгов), в котором подана заявка на участие в торгах.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2.3. Обязанность Заявителя по перечислению Задатка считается исполненной в момент зачисления денежных средств на расчетный счет оператора ЭТП по следующим реквизитам: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Номер счета 40702810429070013813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ИНН Получателя 1655269981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Банк ФИЛИАЛ "НИЖЕГОРОДСКИЙ" АО "АЛЬФА-БАНК"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БИК 042202824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sz w:val="21"/>
          <w:szCs w:val="21"/>
        </w:rPr>
        <w:t>Корр. счет 30101810200000000824</w:t>
      </w:r>
      <w:r>
        <w:rPr>
          <w:color w:val="000000"/>
          <w:sz w:val="21"/>
          <w:szCs w:val="21"/>
        </w:rPr>
        <w:t>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2.4. При перечислении задатка в назначении платежа необходимо указать: «Внесение задатка за участие в торгах №___ (код (номер) торгов), номер лота и наименование должника».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2.5. Сумма задатка возвращается Оператором Заявителю, не являющемуся победителем торгов, при налич</w:t>
      </w:r>
      <w:proofErr w:type="gramStart"/>
      <w:r>
        <w:rPr>
          <w:color w:val="000000"/>
          <w:sz w:val="21"/>
          <w:szCs w:val="21"/>
        </w:rPr>
        <w:t>ии у О</w:t>
      </w:r>
      <w:proofErr w:type="gramEnd"/>
      <w:r>
        <w:rPr>
          <w:color w:val="000000"/>
          <w:sz w:val="21"/>
          <w:szCs w:val="21"/>
        </w:rPr>
        <w:t>ператора банковских реквизитов, необходимых для возврата денежных средств, в течение 5 рабочих дней со дня подписания протокола о результатах торгов в случаях: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отзыва заявки на участие в торгах до окончания срока приема заявок;</w:t>
      </w:r>
    </w:p>
    <w:p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принятия решения Организатором торгов об отказе в допуске Заявителя к участию в торгах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Оператор возвращает задаток проигравшему участнику торгов только на основании заявления Организатора торгов (по форме Приложения № 2 к соглашению о предоставлении счета для перечисления задатков) после подписания протокола о результатах проведения торгов. Срок направления Организатором торгов заявления на возврат задатк</w:t>
      </w:r>
      <w:proofErr w:type="gramStart"/>
      <w:r>
        <w:rPr>
          <w:color w:val="000000"/>
          <w:sz w:val="21"/>
          <w:szCs w:val="21"/>
        </w:rPr>
        <w:t>а-</w:t>
      </w:r>
      <w:proofErr w:type="gramEnd"/>
      <w:r>
        <w:rPr>
          <w:color w:val="000000"/>
          <w:sz w:val="21"/>
          <w:szCs w:val="21"/>
        </w:rPr>
        <w:t xml:space="preserve"> не позднее следующего рабочего дня после подписания протокола о результатах проведения торгов, порядок направления- на электронную почту Оператора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 xml:space="preserve">. Оператор не отвечает за нарушение установленных настоящим </w:t>
      </w:r>
      <w:r>
        <w:rPr>
          <w:color w:val="000000"/>
          <w:sz w:val="21"/>
          <w:szCs w:val="21"/>
        </w:rPr>
        <w:lastRenderedPageBreak/>
        <w:t>договором сроков возврата задатка, в случае несвоевременного предоставления Организатором заявления на возврат задатков на электронный адрес Оператора.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2.6. Сумма Задатка не возвращается Заявителю в следующих случаях: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победы Заявителя на торгах и дальнейшего не заключения им договора купли-продажи с арбитражным управляющим в течение срока, установленного Федеральным законом №127-ФЗ от 26.10.2002 г. «О несостоятельности (банкротстве)»;</w:t>
      </w:r>
    </w:p>
    <w:p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не перечисления денежных средств в оплату лота в установленные договором купли-продажи сроки;</w:t>
      </w:r>
    </w:p>
    <w:p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заключения договора купли-продажи, но не перечисления денежных средств в оплату лота в установленные договором купли-продажи сроки.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2.7.В случае если в ходе проведения торгов (на любом этапе торгов) такие торги будут приостановлены решением уполномоченных государственных органов (ФАС, суд), никакие операции с суммами, заблокированными в качестве задатков, в период приостановки таких торгов не осуществляются.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2.8. В случае не поступления суммы задатка в полном размере и/или в установленный срок, а также в случае, если Заявитель, при перечислении задатка, не указал сведения перечисленные, в п.2.4. настоящего Договора, обязательства Заявителя по внесению задатка считаются невыполненными. В этом случае Организатор торгов вправе не допустить Заявителя к участию в торгах.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2.9. Момент зачисления денежных средств на расчетный счет Оператора, подтверждается банковской выпиской с этого расчетного счета. Риски несвоевременного исполнения банками платежных документов и зачисления денежных средств несет Заявитель.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3. Прочие условия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3.1. В случае победы Заявителя на торгах Задаток Заявителю не возвращается, а засчитывается в счет исполнения обязательства победившего на торгах Заявителя по уплате итоговой цены лота, реализованного на торгах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3.2. Подписанием настоящего договора Заявитель подтверждает факт того, что он ознакомлен и согласен с условиями, сроками и порядком проведения торгов, сроками и порядком приема заявок, задатков, а также порядком подведения итогов торгов, указанными на сайте https://torgi.arbbitlot.ru и в </w:t>
      </w:r>
      <w:proofErr w:type="gramStart"/>
      <w:r>
        <w:rPr>
          <w:color w:val="000000"/>
          <w:sz w:val="21"/>
          <w:szCs w:val="21"/>
        </w:rPr>
        <w:t>сообщении</w:t>
      </w:r>
      <w:proofErr w:type="gramEnd"/>
      <w:r>
        <w:rPr>
          <w:color w:val="000000"/>
          <w:sz w:val="21"/>
          <w:szCs w:val="21"/>
        </w:rPr>
        <w:t xml:space="preserve"> о торгах опубликованном в соответствии с требованиями Федерального закона от 26.10.2002г. № 127-ФЗ "О несостоятельности (банкротстве)".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3.3. Заявитель обязан незамедлительно информировать Организатора торгов об изменении своих банковских реквизитов. Оператор не отвечает за нарушение установленных настоящим договором сроков возврата задатка в случае, если Заявитель своевременно не информировал Организатора торгов об изменении своих банковских реквизитов, а </w:t>
      </w:r>
      <w:proofErr w:type="gramStart"/>
      <w:r>
        <w:rPr>
          <w:color w:val="000000"/>
          <w:sz w:val="21"/>
          <w:szCs w:val="21"/>
        </w:rPr>
        <w:t>также</w:t>
      </w:r>
      <w:proofErr w:type="gramEnd"/>
      <w:r>
        <w:rPr>
          <w:color w:val="000000"/>
          <w:sz w:val="21"/>
          <w:szCs w:val="21"/>
        </w:rPr>
        <w:t xml:space="preserve"> если Заявитель не полностью заполнил сведения о себе или указал недостоверные сведения в п. 3.9. договора, а Организатор торгов своевременно не предоставил заявление на возврат задатков по форме Приложения № 2 на электронный адрес Оператора: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3.4. </w:t>
      </w:r>
      <w:proofErr w:type="gramStart"/>
      <w:r>
        <w:rPr>
          <w:color w:val="000000"/>
          <w:sz w:val="21"/>
          <w:szCs w:val="21"/>
        </w:rPr>
        <w:t>Заявитель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 Федеральном законе от 27.07.2006  № 152-ФЗ, а также на передачу такой информации третьим лицам, в случаях,  не противоречащих с</w:t>
      </w:r>
      <w:proofErr w:type="gramEnd"/>
      <w:r>
        <w:rPr>
          <w:color w:val="000000"/>
          <w:sz w:val="21"/>
          <w:szCs w:val="21"/>
        </w:rPr>
        <w:t xml:space="preserve"> действующим законодательством РФ. Настоящее согласие действует бессрочно. Заявитель подтверждает, что ознакомлен с положениями Федерального закона от 27.07.2006г. №152-ФЗ «О персональных данных», права и обязанности в области защиты персональных данных ему известны.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3.5. По всем вопросам, не указанным в Договоре, стороны руководствуются законодательством Российской Федерации.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3.6. Споры, связанные с неисполнением или ненадлежащим исполнением условий настоящего договора, Стороны будут стремиться разрешать на взаимоприемлемой основе в порядке досудебного разбирательства: путем переговоров, обмена письмами и т.д. Разногласия, по которым Стороны не достигнут соглашения путем переговоров, подлежат разрешению в Арбитражном суде Республики Татарстан. Настоящий Договор составлен в электронной форме, подписан электронной подписью, и размещен в открытом доступе на сайте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(https://torgi.arbbitlot.ru).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3.7. Настоящий договор может быть заключен в письменной форме как путём составления единого документа, подписанного сторонами, так и путём обмена документами посредством почтовой связи или электронной почты (e-</w:t>
      </w:r>
      <w:proofErr w:type="spellStart"/>
      <w:r>
        <w:rPr>
          <w:color w:val="000000"/>
          <w:sz w:val="21"/>
          <w:szCs w:val="21"/>
        </w:rPr>
        <w:t>mail</w:t>
      </w:r>
      <w:proofErr w:type="spellEnd"/>
      <w:r>
        <w:rPr>
          <w:color w:val="000000"/>
          <w:sz w:val="21"/>
          <w:szCs w:val="21"/>
        </w:rPr>
        <w:t>). При этом передаваемые документы должны быть подписаны сторонами или их уполномоченными представителями и скреплены печатью, а используемый способ связи должен позволять достоверно установить, что документ исходит от стороны по договору.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3.8. При соблюдении указанных условий передаваемые по электронной почте графические файлы, содержащие отсканированные страницы настоящего договора, имеют юридическую силу оригинала и считаются действительными до момента обмена сторонами оригиналами договора.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3.9. Все изменения и дополнения к договору являются действительными, если они совершены в письменной форме путем подписания уполномоченными представителями обеих Сторон.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f4"/>
        <w:tblW w:w="101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4"/>
        <w:gridCol w:w="4410"/>
      </w:tblGrid>
      <w:tr w:rsidR="0048359C" w:rsidTr="00732DDB">
        <w:trPr>
          <w:trHeight w:val="6805"/>
        </w:trPr>
        <w:tc>
          <w:tcPr>
            <w:tcW w:w="5704" w:type="dxa"/>
          </w:tcPr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Заявитель: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___________________________________________________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00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(наименование юридического лица /ФИО) Юридический адрес/Адрес регистрации гражданина: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99"/>
                <w:tab w:val="left" w:pos="4830"/>
              </w:tabs>
              <w:spacing w:before="9"/>
              <w:ind w:left="200" w:right="4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Почтовый адрес: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ОГРН/ОГРНИП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688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(для юридического лица и ИП)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4"/>
                <w:tab w:val="left" w:pos="3226"/>
                <w:tab w:val="left" w:pos="4727"/>
              </w:tabs>
              <w:spacing w:before="1"/>
              <w:ind w:left="200" w:right="51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Паспортные данные: серия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№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z w:val="18"/>
                <w:szCs w:val="18"/>
              </w:rPr>
              <w:t>Выдан</w:t>
            </w:r>
            <w:proofErr w:type="gramEnd"/>
            <w:r>
              <w:rPr>
                <w:color w:val="000000"/>
                <w:sz w:val="18"/>
                <w:szCs w:val="18"/>
              </w:rPr>
              <w:t>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Дата выдачи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код </w:t>
            </w:r>
            <w:proofErr w:type="spellStart"/>
            <w:r>
              <w:rPr>
                <w:color w:val="000000"/>
                <w:sz w:val="18"/>
                <w:szCs w:val="18"/>
              </w:rPr>
              <w:t>подр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Реквизиты для возврата задатка: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8"/>
                <w:tab w:val="left" w:pos="4751"/>
              </w:tabs>
              <w:ind w:left="200" w:right="52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Получатель: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 получателя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z w:val="18"/>
                <w:szCs w:val="18"/>
              </w:rPr>
              <w:t>р</w:t>
            </w:r>
            <w:proofErr w:type="gramEnd"/>
            <w:r>
              <w:rPr>
                <w:color w:val="000000"/>
                <w:sz w:val="18"/>
                <w:szCs w:val="18"/>
              </w:rPr>
              <w:t>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к/с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БИК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9"/>
              </w:tabs>
              <w:spacing w:before="100" w:after="100" w:line="218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Назначение платежа: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Тел.: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Эл</w:t>
            </w:r>
            <w:proofErr w:type="gramStart"/>
            <w:r>
              <w:rPr>
                <w:color w:val="000000"/>
                <w:sz w:val="18"/>
                <w:szCs w:val="18"/>
              </w:rPr>
              <w:t>.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z w:val="18"/>
                <w:szCs w:val="18"/>
              </w:rPr>
              <w:t>п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очта: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5"/>
                <w:tab w:val="left" w:pos="2589"/>
                <w:tab w:val="left" w:pos="4470"/>
              </w:tabs>
              <w:ind w:left="975" w:right="745" w:hanging="7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 подпись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color w:val="000000"/>
                <w:sz w:val="18"/>
                <w:szCs w:val="18"/>
              </w:rPr>
              <w:tab/>
              <w:t>расшифровка подписи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8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м.п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4410" w:type="dxa"/>
          </w:tcPr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493" w:right="305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Оператор: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ООО «Электронная торговая площадка», ИНН  1655269981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ОГРН 1131690035124,  КПП 165501001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Номер счета 40702810429070013813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ИНН Получателя 1655269981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Банк ФИЛИАЛ "НИЖЕГОРОДСКИЙ" АО "АЛЬФА-БАНК"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БИК 042202824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Корр. счет 30101810200000000824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333333"/>
                <w:sz w:val="17"/>
                <w:szCs w:val="17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Директор____________</w:t>
            </w:r>
            <w:proofErr w:type="spellStart"/>
            <w:r>
              <w:rPr>
                <w:color w:val="333333"/>
                <w:sz w:val="21"/>
                <w:szCs w:val="21"/>
              </w:rPr>
              <w:t>М.В.Думпе</w:t>
            </w:r>
            <w:proofErr w:type="spellEnd"/>
          </w:p>
          <w:p w:rsidR="0048359C" w:rsidRDefault="00483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7"/>
              </w:tabs>
              <w:ind w:left="493" w:right="1168"/>
              <w:rPr>
                <w:rFonts w:ascii="Verdana" w:eastAsia="Verdana" w:hAnsi="Verdana" w:cs="Verdana"/>
                <w:color w:val="333333"/>
                <w:sz w:val="18"/>
                <w:szCs w:val="18"/>
              </w:rPr>
            </w:pPr>
          </w:p>
        </w:tc>
      </w:tr>
    </w:tbl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:rsidR="0048359C" w:rsidRDefault="0048359C">
      <w:pPr>
        <w:keepNext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48359C" w:rsidRDefault="0048359C">
      <w:pPr>
        <w:keepNext/>
        <w:jc w:val="both"/>
        <w:rPr>
          <w:sz w:val="24"/>
          <w:szCs w:val="24"/>
        </w:rPr>
      </w:pPr>
    </w:p>
    <w:p w:rsidR="00732DDB" w:rsidRDefault="00732DDB">
      <w:pPr>
        <w:keepNext/>
        <w:jc w:val="both"/>
        <w:rPr>
          <w:sz w:val="24"/>
          <w:szCs w:val="24"/>
        </w:rPr>
      </w:pPr>
    </w:p>
    <w:sectPr w:rsidR="00732DDB">
      <w:headerReference w:type="default" r:id="rId9"/>
      <w:pgSz w:w="11906" w:h="16838"/>
      <w:pgMar w:top="776" w:right="1134" w:bottom="1134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4D0C" w:rsidRDefault="00024D0C">
      <w:r>
        <w:separator/>
      </w:r>
    </w:p>
  </w:endnote>
  <w:endnote w:type="continuationSeparator" w:id="0">
    <w:p w:rsidR="00024D0C" w:rsidRDefault="00024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69C99DDF-41C8-4DE4-9212-00E4B5618922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2" w:fontKey="{0592D7EB-4364-40FE-9E17-2902C6F4A0CD}"/>
    <w:embedItalic r:id="rId3" w:fontKey="{A7F4729C-FA24-4CE4-A200-1F1A244DCBA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2317A763-298E-40E9-A49D-FAB46B10F5E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BC389384-07EA-4F71-AF4C-77D3867A5B4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0C54E331-7D1D-465C-96F2-E6EFF1EC4BEA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7" w:fontKey="{C531EB1B-979F-461A-B371-B06EFB2FDF5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6BC5B4C1-C297-41EC-AECD-B7BA44022A6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4D0C" w:rsidRDefault="00024D0C">
      <w:r>
        <w:separator/>
      </w:r>
    </w:p>
  </w:footnote>
  <w:footnote w:type="continuationSeparator" w:id="0">
    <w:p w:rsidR="00024D0C" w:rsidRDefault="00024D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59C" w:rsidRDefault="00581E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b/>
        <w:bCs/>
        <w:color w:val="000000"/>
      </w:rPr>
    </w:pPr>
    <w:r>
      <w:rPr>
        <w:b/>
        <w:bCs/>
        <w:color w:val="000000"/>
      </w:rPr>
      <w:t>ПРОЕКТ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1C2C88"/>
    <w:multiLevelType w:val="multilevel"/>
    <w:tmpl w:val="1CE25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47042153"/>
    <w:multiLevelType w:val="multilevel"/>
    <w:tmpl w:val="354CF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63A03F05"/>
    <w:multiLevelType w:val="multilevel"/>
    <w:tmpl w:val="BC5E0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8359C"/>
    <w:rsid w:val="00000734"/>
    <w:rsid w:val="00024D0C"/>
    <w:rsid w:val="0048359C"/>
    <w:rsid w:val="00581EAF"/>
    <w:rsid w:val="00732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</w:style>
  <w:style w:type="character" w:customStyle="1" w:styleId="text">
    <w:name w:val="text"/>
    <w:basedOn w:val="10"/>
    <w:qFormat/>
  </w:style>
  <w:style w:type="character" w:customStyle="1" w:styleId="a4">
    <w:name w:val="Верхний колонтитул Знак"/>
    <w:basedOn w:val="10"/>
    <w:qFormat/>
  </w:style>
  <w:style w:type="character" w:customStyle="1" w:styleId="a5">
    <w:name w:val="Нижний колонтитул Знак"/>
    <w:basedOn w:val="10"/>
    <w:qFormat/>
  </w:style>
  <w:style w:type="character" w:styleId="a6">
    <w:name w:val="Hyperlink"/>
    <w:rPr>
      <w:color w:val="0563C1"/>
      <w:u w:val="single"/>
    </w:rPr>
  </w:style>
  <w:style w:type="character" w:customStyle="1" w:styleId="spelle">
    <w:name w:val="spelle"/>
    <w:qFormat/>
  </w:style>
  <w:style w:type="character" w:styleId="a7">
    <w:name w:val="Strong"/>
    <w:qFormat/>
    <w:rPr>
      <w:b/>
      <w:bCs/>
    </w:rPr>
  </w:style>
  <w:style w:type="character" w:customStyle="1" w:styleId="grame">
    <w:name w:val="grame"/>
    <w:qFormat/>
  </w:style>
  <w:style w:type="paragraph" w:customStyle="1" w:styleId="Heading">
    <w:name w:val="Heading"/>
    <w:next w:val="a8"/>
    <w:qFormat/>
    <w:pPr>
      <w:jc w:val="center"/>
    </w:pPr>
    <w:rPr>
      <w:sz w:val="24"/>
    </w:rPr>
  </w:style>
  <w:style w:type="paragraph" w:styleId="a8">
    <w:name w:val="Body Text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1">
    <w:name w:val="Указатель1"/>
    <w:qFormat/>
    <w:pPr>
      <w:suppressLineNumbers/>
    </w:pPr>
    <w:rPr>
      <w:rFonts w:cs="Lucida Sans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hAnsi="Arial" w:cs="Arial"/>
      <w:lang w:val="ru-RU"/>
    </w:rPr>
  </w:style>
  <w:style w:type="paragraph" w:customStyle="1" w:styleId="ConsNonformat">
    <w:name w:val="ConsNonformat"/>
    <w:qFormat/>
    <w:pPr>
      <w:widowControl w:val="0"/>
    </w:pPr>
    <w:rPr>
      <w:rFonts w:ascii="Courier New" w:hAnsi="Courier New" w:cs="Courier New"/>
      <w:lang w:val="ru-RU"/>
    </w:rPr>
  </w:style>
  <w:style w:type="paragraph" w:customStyle="1" w:styleId="ConsTitle">
    <w:name w:val="ConsTitle"/>
    <w:qFormat/>
    <w:pPr>
      <w:widowControl w:val="0"/>
    </w:pPr>
    <w:rPr>
      <w:rFonts w:ascii="Arial" w:hAnsi="Arial" w:cs="Arial"/>
      <w:b/>
      <w:sz w:val="16"/>
      <w:lang w:val="ru-RU"/>
    </w:rPr>
  </w:style>
  <w:style w:type="paragraph" w:styleId="ab">
    <w:name w:val="Body Text Indent"/>
    <w:pPr>
      <w:ind w:firstLine="708"/>
      <w:jc w:val="both"/>
    </w:pPr>
    <w:rPr>
      <w:sz w:val="24"/>
      <w:szCs w:val="24"/>
    </w:rPr>
  </w:style>
  <w:style w:type="paragraph" w:styleId="ac">
    <w:name w:val="Balloon Text"/>
    <w:qFormat/>
    <w:rPr>
      <w:rFonts w:ascii="Tahoma" w:hAnsi="Tahoma" w:cs="Tahoma"/>
      <w:sz w:val="16"/>
      <w:szCs w:val="16"/>
    </w:rPr>
  </w:style>
  <w:style w:type="paragraph" w:customStyle="1" w:styleId="ad">
    <w:name w:val="Таблицы (моноширинный)"/>
    <w:qFormat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zagolovok6">
    <w:name w:val="zagolovok6"/>
    <w:qFormat/>
    <w:rPr>
      <w:lang w:val="ru-RU"/>
    </w:rPr>
  </w:style>
  <w:style w:type="paragraph" w:customStyle="1" w:styleId="1-21">
    <w:name w:val="Средняя сетка 1 - Акцент 21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pPr>
      <w:tabs>
        <w:tab w:val="center" w:pos="4677"/>
        <w:tab w:val="right" w:pos="9355"/>
      </w:tabs>
    </w:pPr>
  </w:style>
  <w:style w:type="paragraph" w:styleId="af">
    <w:name w:val="footer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autoSpaceDE w:val="0"/>
    </w:pPr>
    <w:rPr>
      <w:rFonts w:ascii="Arial" w:hAnsi="Arial" w:cs="Arial"/>
      <w:lang w:val="ru-RU"/>
    </w:rPr>
  </w:style>
  <w:style w:type="paragraph" w:customStyle="1" w:styleId="ConsPlusTitle">
    <w:name w:val="ConsPlusTitle"/>
    <w:qFormat/>
    <w:pPr>
      <w:autoSpaceDE w:val="0"/>
    </w:pPr>
    <w:rPr>
      <w:rFonts w:ascii="Arial" w:hAnsi="Arial" w:cs="Arial"/>
      <w:b/>
      <w:bCs/>
      <w:lang w:val="ru-RU"/>
    </w:rPr>
  </w:style>
  <w:style w:type="paragraph" w:customStyle="1" w:styleId="af0">
    <w:name w:val="Содержимое таблицы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f2">
    <w:name w:val="Normal (Web)"/>
    <w:qFormat/>
    <w:pPr>
      <w:spacing w:before="100" w:after="100"/>
    </w:pPr>
    <w:rPr>
      <w:sz w:val="24"/>
      <w:szCs w:val="24"/>
    </w:rPr>
  </w:style>
  <w:style w:type="paragraph" w:customStyle="1" w:styleId="tableparagraph">
    <w:name w:val="tableparagraph"/>
    <w:qFormat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</w:style>
  <w:style w:type="character" w:customStyle="1" w:styleId="text">
    <w:name w:val="text"/>
    <w:basedOn w:val="10"/>
    <w:qFormat/>
  </w:style>
  <w:style w:type="character" w:customStyle="1" w:styleId="a4">
    <w:name w:val="Верхний колонтитул Знак"/>
    <w:basedOn w:val="10"/>
    <w:qFormat/>
  </w:style>
  <w:style w:type="character" w:customStyle="1" w:styleId="a5">
    <w:name w:val="Нижний колонтитул Знак"/>
    <w:basedOn w:val="10"/>
    <w:qFormat/>
  </w:style>
  <w:style w:type="character" w:styleId="a6">
    <w:name w:val="Hyperlink"/>
    <w:rPr>
      <w:color w:val="0563C1"/>
      <w:u w:val="single"/>
    </w:rPr>
  </w:style>
  <w:style w:type="character" w:customStyle="1" w:styleId="spelle">
    <w:name w:val="spelle"/>
    <w:qFormat/>
  </w:style>
  <w:style w:type="character" w:styleId="a7">
    <w:name w:val="Strong"/>
    <w:qFormat/>
    <w:rPr>
      <w:b/>
      <w:bCs/>
    </w:rPr>
  </w:style>
  <w:style w:type="character" w:customStyle="1" w:styleId="grame">
    <w:name w:val="grame"/>
    <w:qFormat/>
  </w:style>
  <w:style w:type="paragraph" w:customStyle="1" w:styleId="Heading">
    <w:name w:val="Heading"/>
    <w:next w:val="a8"/>
    <w:qFormat/>
    <w:pPr>
      <w:jc w:val="center"/>
    </w:pPr>
    <w:rPr>
      <w:sz w:val="24"/>
    </w:rPr>
  </w:style>
  <w:style w:type="paragraph" w:styleId="a8">
    <w:name w:val="Body Text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1">
    <w:name w:val="Указатель1"/>
    <w:qFormat/>
    <w:pPr>
      <w:suppressLineNumbers/>
    </w:pPr>
    <w:rPr>
      <w:rFonts w:cs="Lucida Sans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hAnsi="Arial" w:cs="Arial"/>
      <w:lang w:val="ru-RU"/>
    </w:rPr>
  </w:style>
  <w:style w:type="paragraph" w:customStyle="1" w:styleId="ConsNonformat">
    <w:name w:val="ConsNonformat"/>
    <w:qFormat/>
    <w:pPr>
      <w:widowControl w:val="0"/>
    </w:pPr>
    <w:rPr>
      <w:rFonts w:ascii="Courier New" w:hAnsi="Courier New" w:cs="Courier New"/>
      <w:lang w:val="ru-RU"/>
    </w:rPr>
  </w:style>
  <w:style w:type="paragraph" w:customStyle="1" w:styleId="ConsTitle">
    <w:name w:val="ConsTitle"/>
    <w:qFormat/>
    <w:pPr>
      <w:widowControl w:val="0"/>
    </w:pPr>
    <w:rPr>
      <w:rFonts w:ascii="Arial" w:hAnsi="Arial" w:cs="Arial"/>
      <w:b/>
      <w:sz w:val="16"/>
      <w:lang w:val="ru-RU"/>
    </w:rPr>
  </w:style>
  <w:style w:type="paragraph" w:styleId="ab">
    <w:name w:val="Body Text Indent"/>
    <w:pPr>
      <w:ind w:firstLine="708"/>
      <w:jc w:val="both"/>
    </w:pPr>
    <w:rPr>
      <w:sz w:val="24"/>
      <w:szCs w:val="24"/>
    </w:rPr>
  </w:style>
  <w:style w:type="paragraph" w:styleId="ac">
    <w:name w:val="Balloon Text"/>
    <w:qFormat/>
    <w:rPr>
      <w:rFonts w:ascii="Tahoma" w:hAnsi="Tahoma" w:cs="Tahoma"/>
      <w:sz w:val="16"/>
      <w:szCs w:val="16"/>
    </w:rPr>
  </w:style>
  <w:style w:type="paragraph" w:customStyle="1" w:styleId="ad">
    <w:name w:val="Таблицы (моноширинный)"/>
    <w:qFormat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zagolovok6">
    <w:name w:val="zagolovok6"/>
    <w:qFormat/>
    <w:rPr>
      <w:lang w:val="ru-RU"/>
    </w:rPr>
  </w:style>
  <w:style w:type="paragraph" w:customStyle="1" w:styleId="1-21">
    <w:name w:val="Средняя сетка 1 - Акцент 21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pPr>
      <w:tabs>
        <w:tab w:val="center" w:pos="4677"/>
        <w:tab w:val="right" w:pos="9355"/>
      </w:tabs>
    </w:pPr>
  </w:style>
  <w:style w:type="paragraph" w:styleId="af">
    <w:name w:val="footer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autoSpaceDE w:val="0"/>
    </w:pPr>
    <w:rPr>
      <w:rFonts w:ascii="Arial" w:hAnsi="Arial" w:cs="Arial"/>
      <w:lang w:val="ru-RU"/>
    </w:rPr>
  </w:style>
  <w:style w:type="paragraph" w:customStyle="1" w:styleId="ConsPlusTitle">
    <w:name w:val="ConsPlusTitle"/>
    <w:qFormat/>
    <w:pPr>
      <w:autoSpaceDE w:val="0"/>
    </w:pPr>
    <w:rPr>
      <w:rFonts w:ascii="Arial" w:hAnsi="Arial" w:cs="Arial"/>
      <w:b/>
      <w:bCs/>
      <w:lang w:val="ru-RU"/>
    </w:rPr>
  </w:style>
  <w:style w:type="paragraph" w:customStyle="1" w:styleId="af0">
    <w:name w:val="Содержимое таблицы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f2">
    <w:name w:val="Normal (Web)"/>
    <w:qFormat/>
    <w:pPr>
      <w:spacing w:before="100" w:after="100"/>
    </w:pPr>
    <w:rPr>
      <w:sz w:val="24"/>
      <w:szCs w:val="24"/>
    </w:rPr>
  </w:style>
  <w:style w:type="paragraph" w:customStyle="1" w:styleId="tableparagraph">
    <w:name w:val="tableparagraph"/>
    <w:qFormat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9Z/f7Ww1uPiYJoo4Cc4OA6ygw==">CgMxLjAyDmguaW9wYnUwMno2Nzh0OAByITFZcnVpOHNGazZQOVZXRm9YQy03STQ3Sl9KdFl6cmlnag==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1512</Words>
  <Characters>8622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Reanimator 98</dc:creator>
  <cp:lastModifiedBy>Acer</cp:lastModifiedBy>
  <cp:revision>2</cp:revision>
  <dcterms:created xsi:type="dcterms:W3CDTF">2026-02-05T14:56:00Z</dcterms:created>
  <dcterms:modified xsi:type="dcterms:W3CDTF">2026-02-05T14:56:00Z</dcterms:modified>
</cp:coreProperties>
</file>