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3954E75A" w:rsidR="005D4BF4" w:rsidRDefault="004E7A9C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4E7A9C">
        <w:rPr>
          <w:spacing w:val="-4"/>
          <w:sz w:val="22"/>
        </w:rPr>
        <w:t>Кулешова Надежда Валентиновна 01.04.1957 г.р., место рождения: г. Брянск, ИНН 323200996265, СНИЛС 065-717-388 90, адрес регистрации: 241016, г. Брянск, ул. Песчаная д. 26, кв. 1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</w:t>
      </w:r>
      <w:r w:rsidRPr="004E7A9C">
        <w:rPr>
          <w:spacing w:val="-4"/>
          <w:sz w:val="22"/>
        </w:rPr>
        <w:t>Брянской области от 26.06.2025 по делу №А09-4528/2025</w:t>
      </w:r>
      <w:r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071BBE98" w14:textId="77777777" w:rsidR="004E7A9C" w:rsidRDefault="004E7A9C" w:rsidP="00666CFA">
      <w:pPr>
        <w:spacing w:before="0" w:after="0"/>
        <w:jc w:val="both"/>
        <w:rPr>
          <w:spacing w:val="-3"/>
          <w:sz w:val="22"/>
        </w:rPr>
      </w:pPr>
      <w:r w:rsidRPr="004E7A9C">
        <w:rPr>
          <w:spacing w:val="-3"/>
          <w:sz w:val="22"/>
        </w:rPr>
        <w:t xml:space="preserve">Земельный участок площадью 600 </w:t>
      </w:r>
      <w:proofErr w:type="spellStart"/>
      <w:r w:rsidRPr="004E7A9C">
        <w:rPr>
          <w:spacing w:val="-3"/>
          <w:sz w:val="22"/>
        </w:rPr>
        <w:t>кв.м</w:t>
      </w:r>
      <w:proofErr w:type="spellEnd"/>
      <w:r w:rsidRPr="004E7A9C">
        <w:rPr>
          <w:spacing w:val="-3"/>
          <w:sz w:val="22"/>
        </w:rPr>
        <w:t xml:space="preserve">. (границы не установлены), с кадастровым номером 32:02:0177801:12, в индивидуальной собственности, по адресу: Брянская область, р-н Брянский, п </w:t>
      </w:r>
      <w:proofErr w:type="spellStart"/>
      <w:r w:rsidRPr="004E7A9C">
        <w:rPr>
          <w:spacing w:val="-3"/>
          <w:sz w:val="22"/>
        </w:rPr>
        <w:t>Корчминка</w:t>
      </w:r>
      <w:proofErr w:type="spellEnd"/>
      <w:r w:rsidRPr="004E7A9C">
        <w:rPr>
          <w:spacing w:val="-3"/>
          <w:sz w:val="22"/>
        </w:rPr>
        <w:t xml:space="preserve">, тер </w:t>
      </w:r>
      <w:proofErr w:type="spellStart"/>
      <w:r w:rsidRPr="004E7A9C">
        <w:rPr>
          <w:spacing w:val="-3"/>
          <w:sz w:val="22"/>
        </w:rPr>
        <w:t>сдт</w:t>
      </w:r>
      <w:proofErr w:type="spellEnd"/>
      <w:r w:rsidRPr="004E7A9C">
        <w:rPr>
          <w:spacing w:val="-3"/>
          <w:sz w:val="22"/>
        </w:rPr>
        <w:t xml:space="preserve"> </w:t>
      </w:r>
      <w:proofErr w:type="spellStart"/>
      <w:r w:rsidRPr="004E7A9C">
        <w:rPr>
          <w:spacing w:val="-3"/>
          <w:sz w:val="22"/>
        </w:rPr>
        <w:t>Корчминка</w:t>
      </w:r>
      <w:proofErr w:type="spellEnd"/>
      <w:r w:rsidRPr="004E7A9C">
        <w:rPr>
          <w:spacing w:val="-3"/>
          <w:sz w:val="22"/>
        </w:rPr>
        <w:t xml:space="preserve">, </w:t>
      </w:r>
      <w:proofErr w:type="spellStart"/>
      <w:r w:rsidRPr="004E7A9C">
        <w:rPr>
          <w:spacing w:val="-3"/>
          <w:sz w:val="22"/>
        </w:rPr>
        <w:t>уч</w:t>
      </w:r>
      <w:proofErr w:type="spellEnd"/>
      <w:r w:rsidRPr="004E7A9C">
        <w:rPr>
          <w:spacing w:val="-3"/>
          <w:sz w:val="22"/>
        </w:rPr>
        <w:t xml:space="preserve"> 175; категория земель: земли сельскохозяйственного назначения; виды разрешенного использования: для ведения садоводства</w:t>
      </w:r>
      <w:r w:rsidR="00666CFA">
        <w:rPr>
          <w:spacing w:val="-3"/>
          <w:sz w:val="22"/>
        </w:rPr>
        <w:t>,</w:t>
      </w:r>
    </w:p>
    <w:p w14:paraId="73FE2D0B" w14:textId="168BAA94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79B8B506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4E7A9C" w:rsidRPr="004E7A9C">
        <w:rPr>
          <w:spacing w:val="-4"/>
          <w:sz w:val="22"/>
        </w:rPr>
        <w:t>А09-4528/2025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Default="005D4BF4" w:rsidP="004E7A9C">
      <w:pPr>
        <w:tabs>
          <w:tab w:val="left" w:pos="1176"/>
        </w:tabs>
        <w:spacing w:before="14" w:after="0" w:line="250" w:lineRule="exact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4169AC0C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 xml:space="preserve">Финансовым управляющим </w:t>
      </w:r>
      <w:r>
        <w:rPr>
          <w:spacing w:val="1"/>
          <w:sz w:val="22"/>
        </w:rPr>
        <w:t xml:space="preserve">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22A34EA7" w14:textId="77777777" w:rsidR="004E7A9C" w:rsidRPr="004E7A9C" w:rsidRDefault="004E7A9C" w:rsidP="004E7A9C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E7A9C">
        <w:rPr>
          <w:sz w:val="22"/>
        </w:rPr>
        <w:t>счет 40817810050223082728</w:t>
      </w:r>
    </w:p>
    <w:p w14:paraId="44A2079C" w14:textId="09338A75" w:rsidR="008B5A30" w:rsidRDefault="004E7A9C" w:rsidP="004E7A9C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E7A9C">
        <w:rPr>
          <w:sz w:val="22"/>
        </w:rPr>
        <w:t>получатель: Кулешова Надежда Валентиновна</w:t>
      </w:r>
    </w:p>
    <w:p w14:paraId="195365C6" w14:textId="77777777" w:rsidR="004E7A9C" w:rsidRDefault="004E7A9C" w:rsidP="004E7A9C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lastRenderedPageBreak/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4E7A9C"/>
    <w:rsid w:val="005D4BF4"/>
    <w:rsid w:val="00666CFA"/>
    <w:rsid w:val="008B5A30"/>
    <w:rsid w:val="009A2233"/>
    <w:rsid w:val="009B4F34"/>
    <w:rsid w:val="00B107D2"/>
    <w:rsid w:val="00B233B1"/>
    <w:rsid w:val="00D74B55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3</cp:revision>
  <dcterms:created xsi:type="dcterms:W3CDTF">2026-03-19T08:42:00Z</dcterms:created>
  <dcterms:modified xsi:type="dcterms:W3CDTF">2026-03-23T12:52:00Z</dcterms:modified>
</cp:coreProperties>
</file>