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0" w:line="240"/>
        <w:ind w:right="0" w:left="0" w:firstLine="720"/>
        <w:jc w:val="left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2"/>
          <w:shd w:fill="auto" w:val="clear"/>
        </w:rPr>
        <w:t xml:space="preserve">                                     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2"/>
          <w:shd w:fill="auto" w:val="clear"/>
        </w:rPr>
        <w:t xml:space="preserve">ПРОЕКТ ДОГОВОРА КУПЛИ-ПРОДАЖИ</w:t>
      </w:r>
    </w:p>
    <w:p>
      <w:pPr>
        <w:spacing w:before="0" w:after="0" w:line="240"/>
        <w:ind w:right="0" w:left="0" w:firstLine="720"/>
        <w:jc w:val="left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2"/>
          <w:shd w:fill="auto" w:val="clear"/>
        </w:rPr>
      </w:pPr>
    </w:p>
    <w:p>
      <w:pPr>
        <w:tabs>
          <w:tab w:val="center" w:pos="5330" w:leader="none"/>
          <w:tab w:val="right" w:pos="10065" w:leader="none"/>
        </w:tabs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ab/>
        <w:tab/>
        <w:t xml:space="preserve">    ___________________ 2025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года</w:t>
      </w:r>
    </w:p>
    <w:p>
      <w:pPr>
        <w:tabs>
          <w:tab w:val="center" w:pos="5330" w:leader="none"/>
          <w:tab w:val="right" w:pos="9923" w:leader="none"/>
        </w:tabs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Финансовый управляющий Щукина Елена Сергеевна Закиров Тимур Назифович (ИНН 022501837847, СНИЛС 166-267-428 92) - член Союза "Саморегулируемая организация "Гильдия арбитражных управляющих" (ОГРН 1021603626098, ИНН 1660062005, адрес: 420034, Респ Татарстан, г Казань, ул. Соловецких Юнг, д. 7, оф. 1004 ), действующий на основании Решения Арбитражного суда Республики Хакасия от 04.06.2025 по делу </w:t>
      </w:r>
      <w:r>
        <w:rPr>
          <w:rFonts w:ascii="Segoe UI Symbol" w:hAnsi="Segoe UI Symbol" w:cs="Segoe UI Symbol" w:eastAsia="Segoe UI Symbol"/>
          <w:color w:val="000000"/>
          <w:spacing w:val="0"/>
          <w:position w:val="0"/>
          <w:sz w:val="22"/>
          <w:shd w:fill="auto" w:val="clear"/>
        </w:rPr>
        <w:t xml:space="preserve">№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А74-3982/2025, именуемый в дальнейшем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2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2"/>
          <w:shd w:fill="auto" w:val="clear"/>
        </w:rPr>
        <w:t xml:space="preserve">Продавец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2"/>
          <w:shd w:fill="auto" w:val="clear"/>
        </w:rPr>
        <w:t xml:space="preserve">»,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с одной стороны, и ___________________, именуемый в дальнейшем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2"/>
          <w:shd w:fill="auto" w:val="clear"/>
        </w:rPr>
        <w:t xml:space="preserve">Покупатель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2"/>
          <w:shd w:fill="auto" w:val="clear"/>
        </w:rPr>
        <w:t xml:space="preserve">»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,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с другой стороны, на основании протокола ___________________  о ходе и результатах торгов по продаже имущества должника -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Щукиной Елены Сергеевны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составили настоящий Договор о нижеследующем:</w:t>
      </w:r>
      <w:r>
        <w:rPr>
          <w:rFonts w:ascii="Times New Roman" w:hAnsi="Times New Roman" w:cs="Times New Roman" w:eastAsia="Times New Roman"/>
          <w:color w:val="FF0000"/>
          <w:spacing w:val="0"/>
          <w:position w:val="0"/>
          <w:sz w:val="22"/>
          <w:shd w:fill="auto" w:val="clear"/>
        </w:rPr>
        <w:t xml:space="preserve">  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2"/>
          <w:shd w:fill="auto" w:val="clear"/>
        </w:rPr>
        <w:t xml:space="preserve">            I.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2"/>
          <w:shd w:fill="auto" w:val="clear"/>
        </w:rPr>
        <w:t xml:space="preserve">Предмет Договора</w:t>
      </w:r>
    </w:p>
    <w:p>
      <w:pPr>
        <w:spacing w:before="0" w:after="0" w:line="240"/>
        <w:ind w:right="0" w:left="0" w:firstLine="72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1.1.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Продавец передает в собственность Покупателю, а Покупатель обязуется принять и оплатить следующее имущество (объект): </w:t>
      </w:r>
    </w:p>
    <w:p>
      <w:pPr>
        <w:spacing w:before="0" w:after="0" w:line="240"/>
        <w:ind w:right="0" w:left="0" w:firstLine="72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72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1.2.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Имущество продается на основании ФЗ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О несостоятельности (банкротстве)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» N 127-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ФЗ от 26 октября 2002 года.</w:t>
      </w:r>
    </w:p>
    <w:p>
      <w:pPr>
        <w:spacing w:before="0" w:after="0" w:line="240"/>
        <w:ind w:right="0" w:left="0" w:firstLine="72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72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2"/>
          <w:shd w:fill="auto" w:val="clear"/>
        </w:rPr>
        <w:t xml:space="preserve">II.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2"/>
          <w:shd w:fill="auto" w:val="clear"/>
        </w:rPr>
        <w:t xml:space="preserve">Стоимость Имущества и порядок его оплаты</w:t>
      </w:r>
    </w:p>
    <w:p>
      <w:pPr>
        <w:spacing w:before="0" w:after="0" w:line="240"/>
        <w:ind w:right="0" w:left="0" w:firstLine="72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2.1.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Общая стоимость Имущества составляет________________________ руб.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ab/>
        <w:t xml:space="preserve">2.2.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Задаток в сумме ______________________ руб.,</w:t>
      </w:r>
      <w:r>
        <w:rPr>
          <w:rFonts w:ascii="Times New Roman" w:hAnsi="Times New Roman" w:cs="Times New Roman" w:eastAsia="Times New Roman"/>
          <w:color w:val="000000"/>
          <w:spacing w:val="5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перечислен на расчетный счет электронной площадки Покупателем по Договору о задатке от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«__» ______ 2025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года, засчитывается в счет оплаты Имущества. </w:t>
      </w:r>
    </w:p>
    <w:p>
      <w:pPr>
        <w:numPr>
          <w:ilvl w:val="0"/>
          <w:numId w:val="8"/>
        </w:numPr>
        <w:tabs>
          <w:tab w:val="left" w:pos="1080" w:leader="none"/>
        </w:tabs>
        <w:spacing w:before="0" w:after="0" w:line="240"/>
        <w:ind w:right="0" w:left="1080" w:hanging="36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За вычетом суммы задатка Покупатель должен уплатить_________________ руб. Оплата производиться по следующим реквизитам: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Наименование получателя ЩУКИНА ЕЛЕНА СЕРГЕЕВНА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Счет получателя 40817810350202077661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Дата открытия 10.06.2025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Наименование банка получателя ФИЛИАЛ "ЦЕНТРАЛЬНЫЙ" ПАО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"СОВКОМБАНК"(БЕРДСК)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Корреспондентский счет 30101810150040000763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БИК 045004763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ИНН БАНКА 4401116480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КПП БАНКА 544543001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2.4.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Оплата производится в течении 30 дней с момента подписания настоящего Договора.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FFFFFF" w:val="clear"/>
        </w:rPr>
      </w:pPr>
    </w:p>
    <w:p>
      <w:pPr>
        <w:spacing w:before="0" w:after="0" w:line="240"/>
        <w:ind w:right="0" w:left="0" w:firstLine="72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2"/>
          <w:shd w:fill="auto" w:val="clear"/>
        </w:rPr>
        <w:t xml:space="preserve">III.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2"/>
          <w:shd w:fill="auto" w:val="clear"/>
        </w:rPr>
        <w:t xml:space="preserve">Передача Имущества</w:t>
      </w:r>
    </w:p>
    <w:p>
      <w:pPr>
        <w:spacing w:before="0" w:after="0" w:line="240"/>
        <w:ind w:right="0" w:left="0" w:firstLine="72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3.1.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>
      <w:pPr>
        <w:tabs>
          <w:tab w:val="center" w:pos="8505" w:leader="none"/>
        </w:tabs>
        <w:spacing w:before="0" w:after="0" w:line="240"/>
        <w:ind w:right="0" w:left="0" w:firstLine="72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3.2.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Передача Имущества должна быть осуществлена в течение пяти рабочих дней со дня его оплаты.</w:t>
        <w:tab/>
      </w:r>
    </w:p>
    <w:p>
      <w:pPr>
        <w:spacing w:before="0" w:after="0" w:line="240"/>
        <w:ind w:right="0" w:left="0" w:firstLine="72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3.3.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Принятое Покупателем Имущество возврату не подлежит. Продавец не несет ответственности за качество проданного Имущества.</w:t>
      </w:r>
    </w:p>
    <w:p>
      <w:pPr>
        <w:spacing w:before="0" w:after="0" w:line="240"/>
        <w:ind w:right="0" w:left="0" w:firstLine="720"/>
        <w:jc w:val="both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3.4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>
      <w:pPr>
        <w:spacing w:before="0" w:after="0" w:line="240"/>
        <w:ind w:right="0" w:left="0" w:firstLine="720"/>
        <w:jc w:val="both"/>
        <w:rPr>
          <w:rFonts w:ascii="Times New Roman" w:hAnsi="Times New Roman" w:cs="Times New Roman" w:eastAsia="Times New Roman"/>
          <w:b/>
          <w:color w:val="FF0000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72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2"/>
          <w:shd w:fill="auto" w:val="clear"/>
        </w:rPr>
        <w:t xml:space="preserve">IV.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2"/>
          <w:shd w:fill="auto" w:val="clear"/>
        </w:rPr>
        <w:t xml:space="preserve">Ответственность сторон</w:t>
      </w:r>
    </w:p>
    <w:p>
      <w:pPr>
        <w:spacing w:before="0" w:after="0" w:line="240"/>
        <w:ind w:right="0" w:left="0" w:firstLine="72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4.1.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>
      <w:pPr>
        <w:spacing w:before="0" w:after="0" w:line="240"/>
        <w:ind w:right="0" w:left="0" w:firstLine="72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4.2.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>
      <w:pPr>
        <w:spacing w:before="0" w:after="0" w:line="240"/>
        <w:ind w:right="0" w:left="0" w:firstLine="72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>
      <w:pPr>
        <w:spacing w:before="0" w:after="0" w:line="240"/>
        <w:ind w:right="0" w:left="0" w:firstLine="72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72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72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2"/>
          <w:shd w:fill="auto" w:val="clear"/>
        </w:rPr>
        <w:t xml:space="preserve">V.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2"/>
          <w:shd w:fill="auto" w:val="clear"/>
        </w:rPr>
        <w:t xml:space="preserve">Прочие условия</w:t>
      </w:r>
    </w:p>
    <w:p>
      <w:pPr>
        <w:spacing w:before="0" w:after="0" w:line="240"/>
        <w:ind w:right="0" w:left="0" w:firstLine="72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5.1.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Настоящий Договор вступает в силу с момента его подписания и прекращает свое действие при:</w:t>
      </w:r>
    </w:p>
    <w:tbl>
      <w:tblPr/>
      <w:tblGrid>
        <w:gridCol w:w="881"/>
        <w:gridCol w:w="9380"/>
      </w:tblGrid>
      <w:tr>
        <w:trPr>
          <w:trHeight w:val="1" w:hRule="atLeast"/>
          <w:jc w:val="left"/>
        </w:trPr>
        <w:tc>
          <w:tcPr>
            <w:tcW w:w="881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28" w:type="dxa"/>
              <w:right w:w="28" w:type="dxa"/>
            </w:tcMar>
            <w:vAlign w:val="top"/>
          </w:tcPr>
          <w:p>
            <w:pPr>
              <w:spacing w:before="0" w:after="0" w:line="240"/>
              <w:ind w:right="0" w:left="0" w:firstLine="720"/>
              <w:jc w:val="both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-</w:t>
            </w:r>
          </w:p>
        </w:tc>
        <w:tc>
          <w:tcPr>
            <w:tcW w:w="93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28" w:type="dxa"/>
              <w:right w:w="28" w:type="dxa"/>
            </w:tcMar>
            <w:vAlign w:val="bottom"/>
          </w:tcPr>
          <w:p>
            <w:pPr>
              <w:spacing w:before="0" w:after="0" w:line="240"/>
              <w:ind w:right="0" w:left="0" w:firstLine="720"/>
              <w:jc w:val="both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надлежащем исполнении Сторонами своих обязательств;</w:t>
            </w:r>
          </w:p>
        </w:tc>
      </w:tr>
      <w:tr>
        <w:trPr>
          <w:trHeight w:val="1" w:hRule="atLeast"/>
          <w:jc w:val="left"/>
        </w:trPr>
        <w:tc>
          <w:tcPr>
            <w:tcW w:w="881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28" w:type="dxa"/>
              <w:right w:w="28" w:type="dxa"/>
            </w:tcMar>
            <w:vAlign w:val="top"/>
          </w:tcPr>
          <w:p>
            <w:pPr>
              <w:spacing w:before="0" w:after="0" w:line="240"/>
              <w:ind w:right="0" w:left="0" w:firstLine="720"/>
              <w:jc w:val="both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-</w:t>
            </w:r>
          </w:p>
        </w:tc>
        <w:tc>
          <w:tcPr>
            <w:tcW w:w="93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28" w:type="dxa"/>
              <w:right w:w="28" w:type="dxa"/>
            </w:tcMar>
            <w:vAlign w:val="bottom"/>
          </w:tcPr>
          <w:p>
            <w:pPr>
              <w:spacing w:before="0" w:after="0" w:line="240"/>
              <w:ind w:right="0" w:left="0" w:firstLine="720"/>
              <w:jc w:val="both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расторжении в предусмотренных федеральным законодательством и настоящим Договором случаях;</w:t>
            </w:r>
          </w:p>
        </w:tc>
      </w:tr>
      <w:tr>
        <w:trPr>
          <w:trHeight w:val="1" w:hRule="atLeast"/>
          <w:jc w:val="left"/>
        </w:trPr>
        <w:tc>
          <w:tcPr>
            <w:tcW w:w="881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28" w:type="dxa"/>
              <w:right w:w="28" w:type="dxa"/>
            </w:tcMar>
            <w:vAlign w:val="top"/>
          </w:tcPr>
          <w:p>
            <w:pPr>
              <w:spacing w:before="0" w:after="0" w:line="240"/>
              <w:ind w:right="0" w:left="0" w:firstLine="720"/>
              <w:jc w:val="both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-</w:t>
            </w:r>
          </w:p>
        </w:tc>
        <w:tc>
          <w:tcPr>
            <w:tcW w:w="93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28" w:type="dxa"/>
              <w:right w:w="28" w:type="dxa"/>
            </w:tcMar>
            <w:vAlign w:val="bottom"/>
          </w:tcPr>
          <w:p>
            <w:pPr>
              <w:spacing w:before="0" w:after="0" w:line="240"/>
              <w:ind w:right="0" w:left="0" w:firstLine="720"/>
              <w:jc w:val="both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возникновении  оснований, предусмотренных законодательством Российской Федерации.</w:t>
            </w:r>
          </w:p>
        </w:tc>
      </w:tr>
    </w:tbl>
    <w:p>
      <w:pPr>
        <w:spacing w:before="0" w:after="0" w:line="240"/>
        <w:ind w:right="0" w:left="0" w:firstLine="72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5.2.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>
      <w:pPr>
        <w:spacing w:before="0" w:after="0" w:line="240"/>
        <w:ind w:right="0" w:left="0" w:firstLine="72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5.3.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Все уведомления и сообщения должны направляться в письменной форме.</w:t>
      </w:r>
    </w:p>
    <w:p>
      <w:pPr>
        <w:spacing w:before="0" w:after="0" w:line="240"/>
        <w:ind w:right="0" w:left="0" w:firstLine="72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5.4.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Во всем остальном, что не предусмотрено настоящим Договором, Стороны руководствуются федеральным законодательством.</w:t>
      </w:r>
    </w:p>
    <w:p>
      <w:pPr>
        <w:spacing w:before="0" w:after="0" w:line="240"/>
        <w:ind w:right="0" w:left="0" w:firstLine="72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5.5.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>
      <w:pPr>
        <w:spacing w:before="0" w:after="0" w:line="240"/>
        <w:ind w:right="0" w:left="0" w:firstLine="72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72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2"/>
          <w:shd w:fill="auto" w:val="clear"/>
        </w:rPr>
        <w:t xml:space="preserve">VI.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2"/>
          <w:shd w:fill="auto" w:val="clear"/>
        </w:rPr>
        <w:t xml:space="preserve">Заключительные положения</w:t>
      </w:r>
    </w:p>
    <w:p>
      <w:pPr>
        <w:numPr>
          <w:ilvl w:val="0"/>
          <w:numId w:val="24"/>
        </w:numPr>
        <w:tabs>
          <w:tab w:val="left" w:pos="1080" w:leader="none"/>
        </w:tabs>
        <w:spacing w:before="0" w:after="0" w:line="240"/>
        <w:ind w:right="0" w:left="0" w:firstLine="72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>
      <w:pPr>
        <w:spacing w:before="0" w:after="0" w:line="240"/>
        <w:ind w:right="0" w:left="0" w:firstLine="72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720"/>
        <w:jc w:val="center"/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2"/>
          <w:shd w:fill="auto" w:val="clear"/>
        </w:rPr>
        <w:t xml:space="preserve">VII.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2"/>
          <w:shd w:fill="auto" w:val="clear"/>
        </w:rPr>
        <w:t xml:space="preserve">Место нахождения и банковские реквизиты Сторон</w:t>
      </w:r>
    </w:p>
    <w:p>
      <w:pPr>
        <w:spacing w:before="0" w:after="0" w:line="240"/>
        <w:ind w:right="0" w:left="0" w:firstLine="720"/>
        <w:jc w:val="center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2"/>
          <w:shd w:fill="auto" w:val="clear"/>
        </w:rPr>
      </w:pPr>
    </w:p>
    <w:tbl>
      <w:tblPr/>
      <w:tblGrid>
        <w:gridCol w:w="5210"/>
        <w:gridCol w:w="5211"/>
      </w:tblGrid>
      <w:tr>
        <w:trPr>
          <w:trHeight w:val="1" w:hRule="atLeast"/>
          <w:jc w:val="left"/>
        </w:trPr>
        <w:tc>
          <w:tcPr>
            <w:tcW w:w="521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2"/>
                <w:shd w:fill="auto" w:val="clear"/>
              </w:rPr>
              <w:t xml:space="preserve">Продавец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Финансовый управляющий Щукиной Елены Сергеевны (дата/место рождения: 02.09.1992, с. Фыркал, Ширинского р-на Респ. Хакасия, СНИЛС 116-337-913 51, ИНН 190801444248, адрес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регистрации: 655270, Республика Хакасия, с Июс, ул 50 лет ВЛКСМ, д 38, кв 1, ранее присвоенная фамилия - Осоткина), Закиров Тимур Назифович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Наименование получателя ЩУКИНА ЕЛЕНА СЕРГЕЕВНА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Счет получателя 40817810350202077661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Дата открытия 10.06.2025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Наименование банка получателя ФИЛИАЛ "ЦЕНТРАЛЬНЫЙ" ПАО "СОВКОМБАНК"(БЕРДСК)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Корреспондентский счет 30101810150040000763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БИК 045004763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2"/>
                <w:shd w:fill="auto" w:val="clear"/>
              </w:rPr>
              <w:t xml:space="preserve">Финансовый управляющий 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Щукиной Елены Сергеевны 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_____________________ </w:t>
            </w: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2"/>
                <w:shd w:fill="auto" w:val="clear"/>
              </w:rPr>
              <w:t xml:space="preserve">Закиров Т.Н.</w:t>
            </w:r>
          </w:p>
        </w:tc>
        <w:tc>
          <w:tcPr>
            <w:tcW w:w="5211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2"/>
                <w:shd w:fill="auto" w:val="clear"/>
              </w:rPr>
              <w:t xml:space="preserve">Покупатель</w:t>
            </w:r>
          </w:p>
        </w:tc>
      </w:tr>
    </w:tbl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abstractNum w:abstractNumId="6">
    <w:lvl w:ilvl="0">
      <w:start w:val="1"/>
      <w:numFmt w:val="bullet"/>
      <w:lvlText w:val="•"/>
    </w:lvl>
  </w:abstractNum>
  <w:num w:numId="8">
    <w:abstractNumId w:val="6"/>
  </w:num>
  <w:num w:numId="24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