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9724E5E">
      <w:pPr>
        <w:pStyle w:val="9"/>
        <w:widowControl/>
        <w:ind w:right="0"/>
        <w:jc w:val="both"/>
        <w:rPr>
          <w:rFonts w:ascii="Times New Roman" w:hAnsi="Times New Roman" w:cs="Times New Roman"/>
          <w:sz w:val="24"/>
          <w:szCs w:val="24"/>
        </w:rPr>
      </w:pPr>
    </w:p>
    <w:p w14:paraId="52406BFC">
      <w:pPr>
        <w:pStyle w:val="10"/>
        <w:widowControl/>
        <w:ind w:right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ДОГОВОР О ЗАДАТКЕ </w:t>
      </w:r>
    </w:p>
    <w:p w14:paraId="136571F2">
      <w:pPr>
        <w:pStyle w:val="8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счет обеспечения оплаты имущества,</w:t>
      </w:r>
    </w:p>
    <w:p w14:paraId="176D0317">
      <w:pPr>
        <w:pStyle w:val="8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приобретаемого на торгах, организуемых финансовым управляющим</w:t>
      </w:r>
    </w:p>
    <w:p w14:paraId="53F80F45">
      <w:pPr>
        <w:pStyle w:val="8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реализации имущества должника</w:t>
      </w:r>
    </w:p>
    <w:p w14:paraId="2E83B326">
      <w:pPr>
        <w:pStyle w:val="9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tbl>
      <w:tblPr>
        <w:tblStyle w:val="7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72"/>
        <w:gridCol w:w="4673"/>
      </w:tblGrid>
      <w:tr w14:paraId="3952E9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72" w:type="dxa"/>
          </w:tcPr>
          <w:p w14:paraId="630923F8">
            <w:pPr>
              <w:contextualSpacing/>
              <w:rPr>
                <w:rFonts w:hint="default"/>
                <w:lang w:val="ru-RU"/>
              </w:rPr>
            </w:pPr>
            <w:r>
              <w:rPr>
                <w:rFonts w:hint="default" w:ascii="Times New Roman" w:hAnsi="Times New Roman" w:eastAsia="SimSun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Кемеровская область, г. Березовский</w:t>
            </w:r>
          </w:p>
        </w:tc>
        <w:tc>
          <w:tcPr>
            <w:tcW w:w="4673" w:type="dxa"/>
          </w:tcPr>
          <w:p w14:paraId="3E0E6067">
            <w:pPr>
              <w:contextualSpacing/>
              <w:jc w:val="right"/>
            </w:pPr>
            <w:r>
              <w:t>«___»_________202</w:t>
            </w:r>
            <w:r>
              <w:rPr>
                <w:rFonts w:hint="default"/>
                <w:lang w:val="ru-RU"/>
              </w:rPr>
              <w:t>5</w:t>
            </w:r>
            <w:r>
              <w:t>г.</w:t>
            </w:r>
          </w:p>
          <w:p w14:paraId="37C7B5D6">
            <w:pPr>
              <w:contextualSpacing/>
              <w:jc w:val="right"/>
            </w:pPr>
          </w:p>
        </w:tc>
      </w:tr>
    </w:tbl>
    <w:p w14:paraId="1EE41E7C">
      <w:pPr>
        <w:pStyle w:val="9"/>
        <w:widowControl/>
        <w:ind w:right="0"/>
        <w:jc w:val="both"/>
        <w:rPr>
          <w:rFonts w:ascii="Times New Roman" w:hAnsi="Times New Roman" w:cs="Times New Roman"/>
          <w:sz w:val="24"/>
          <w:szCs w:val="24"/>
        </w:rPr>
      </w:pPr>
    </w:p>
    <w:p w14:paraId="2BA98064">
      <w:pPr>
        <w:pStyle w:val="9"/>
        <w:widowControl/>
        <w:ind w:right="0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Организатор торгов – финансовый управляющий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Алимбаева Александра Шухуновича </w:t>
      </w:r>
      <w:r>
        <w:rPr>
          <w:rFonts w:hint="default" w:ascii="Times New Roman" w:hAnsi="Times New Roman" w:eastAsia="SimSun" w:cs="Times New Roman"/>
          <w:sz w:val="24"/>
          <w:szCs w:val="24"/>
        </w:rPr>
        <w:t>(</w:t>
      </w:r>
      <w:r>
        <w:rPr>
          <w:rFonts w:hint="default" w:ascii="Times New Roman" w:hAnsi="Times New Roman" w:cs="Times New Roman"/>
          <w:sz w:val="24"/>
          <w:szCs w:val="24"/>
        </w:rPr>
        <w:t>15 мая 1969 года рождения, место рождения: г. Березовский Кемеровской области, СНИЛС 036-210-138-00, адрес: г. Березовский Кемеровская область, ул. Черняховского д. 22, кв. 61),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 xml:space="preserve">Кубрак Екатерина Александровна (ИНН 246417014946, рег. № 22308) - утверждена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Решением </w:t>
      </w:r>
      <w:r>
        <w:rPr>
          <w:rFonts w:hint="default" w:ascii="Times New Roman" w:hAnsi="Times New Roman" w:cs="Times New Roman"/>
          <w:sz w:val="24"/>
          <w:szCs w:val="24"/>
        </w:rPr>
        <w:t xml:space="preserve">Арбитражного суда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Кемеровской области</w:t>
      </w:r>
      <w:r>
        <w:rPr>
          <w:rFonts w:hint="default" w:ascii="Times New Roman" w:hAnsi="Times New Roman" w:cs="Times New Roman"/>
          <w:sz w:val="24"/>
          <w:szCs w:val="24"/>
        </w:rPr>
        <w:t xml:space="preserve"> от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28.12</w:t>
      </w:r>
      <w:r>
        <w:rPr>
          <w:rFonts w:hint="default" w:ascii="Times New Roman" w:hAnsi="Times New Roman" w:cs="Times New Roman"/>
          <w:sz w:val="24"/>
          <w:szCs w:val="24"/>
        </w:rPr>
        <w:t>.202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5</w:t>
      </w:r>
      <w:r>
        <w:rPr>
          <w:rFonts w:hint="default" w:ascii="Times New Roman" w:hAnsi="Times New Roman" w:cs="Times New Roman"/>
          <w:sz w:val="24"/>
          <w:szCs w:val="24"/>
        </w:rPr>
        <w:t xml:space="preserve"> г. по делу №</w:t>
      </w:r>
      <w:r>
        <w:rPr>
          <w:rFonts w:hint="default" w:ascii="Times New Roman" w:hAnsi="Times New Roman" w:eastAsia="SimSun" w:cs="Times New Roman"/>
          <w:sz w:val="24"/>
          <w:szCs w:val="24"/>
        </w:rPr>
        <w:t>А</w:t>
      </w:r>
      <w:r>
        <w:rPr>
          <w:rFonts w:hint="default" w:ascii="Times New Roman" w:hAnsi="Times New Roman" w:eastAsia="SimSun" w:cs="Times New Roman"/>
          <w:sz w:val="24"/>
          <w:szCs w:val="24"/>
          <w:lang w:val="ru-RU"/>
        </w:rPr>
        <w:t>27</w:t>
      </w:r>
      <w:r>
        <w:rPr>
          <w:rFonts w:hint="default" w:ascii="Times New Roman" w:hAnsi="Times New Roman" w:eastAsia="SimSun" w:cs="Times New Roman"/>
          <w:sz w:val="24"/>
          <w:szCs w:val="24"/>
        </w:rPr>
        <w:t>-</w:t>
      </w:r>
      <w:r>
        <w:rPr>
          <w:rFonts w:hint="default" w:ascii="Times New Roman" w:hAnsi="Times New Roman" w:eastAsia="SimSun" w:cs="Times New Roman"/>
          <w:sz w:val="24"/>
          <w:szCs w:val="24"/>
          <w:lang w:val="ru-RU"/>
        </w:rPr>
        <w:t>17025</w:t>
      </w:r>
      <w:r>
        <w:rPr>
          <w:rFonts w:hint="default" w:ascii="Times New Roman" w:hAnsi="Times New Roman" w:eastAsia="SimSun" w:cs="Times New Roman"/>
          <w:sz w:val="24"/>
          <w:szCs w:val="24"/>
        </w:rPr>
        <w:t>/202</w:t>
      </w:r>
      <w:r>
        <w:rPr>
          <w:rFonts w:hint="default" w:ascii="Times New Roman" w:hAnsi="Times New Roman" w:eastAsia="SimSun" w:cs="Times New Roman"/>
          <w:sz w:val="24"/>
          <w:szCs w:val="24"/>
          <w:lang w:val="ru-RU"/>
        </w:rPr>
        <w:t>4</w:t>
      </w:r>
      <w:r>
        <w:rPr>
          <w:rFonts w:hint="default" w:ascii="Times New Roman" w:hAnsi="Times New Roman" w:cs="Times New Roman"/>
          <w:sz w:val="24"/>
          <w:szCs w:val="24"/>
        </w:rPr>
        <w:t xml:space="preserve"> </w:t>
      </w:r>
      <w:r>
        <w:rPr>
          <w:rFonts w:hint="default" w:ascii="Times New Roman" w:hAnsi="Times New Roman" w:eastAsia="SimSun" w:cs="Times New Roman"/>
          <w:sz w:val="24"/>
          <w:szCs w:val="24"/>
          <w:lang w:val="ru-RU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>(член Союза СРО «ГАУ» (ИНН 1660062005, ОГРН 1021603626098, адрес: 420034, Респ Татарстан, г Казань, ул. Соловецких Юнг, д. 7, оф. 1004), именуемый в дальнейшем "Организатор торгов", с одной стороны, и ____________________________, именуем___ в дальнейшем "Претендент", в лице ________________________, действующего на основании _________________________, с другой стороны, заключили настоящий договор о нижеследующем:</w:t>
      </w:r>
    </w:p>
    <w:p w14:paraId="0ECA0E7F">
      <w:pPr>
        <w:pStyle w:val="9"/>
        <w:widowControl/>
        <w:ind w:right="0"/>
        <w:jc w:val="both"/>
        <w:rPr>
          <w:rFonts w:ascii="Times New Roman" w:hAnsi="Times New Roman" w:cs="Times New Roman"/>
          <w:sz w:val="24"/>
          <w:szCs w:val="24"/>
        </w:rPr>
      </w:pPr>
    </w:p>
    <w:p w14:paraId="794870CD">
      <w:pPr>
        <w:pStyle w:val="8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ПРЕДМЕТ ДОГОВОРА</w:t>
      </w:r>
    </w:p>
    <w:p w14:paraId="7A7F9EEA">
      <w:pPr>
        <w:pStyle w:val="9"/>
        <w:widowControl/>
        <w:ind w:right="0"/>
        <w:jc w:val="both"/>
        <w:rPr>
          <w:rFonts w:ascii="Times New Roman" w:hAnsi="Times New Roman" w:cs="Times New Roman"/>
          <w:sz w:val="24"/>
          <w:szCs w:val="24"/>
        </w:rPr>
      </w:pPr>
    </w:p>
    <w:p w14:paraId="3B8F371A">
      <w:pPr>
        <w:keepNext w:val="0"/>
        <w:keepLines w:val="0"/>
        <w:widowControl/>
        <w:numPr>
          <w:ilvl w:val="1"/>
          <w:numId w:val="1"/>
        </w:numPr>
        <w:suppressLineNumbers w:val="0"/>
        <w:jc w:val="both"/>
      </w:pPr>
      <w:r>
        <w:t xml:space="preserve">Претендент обязуется перечислить на </w:t>
      </w:r>
      <w:r>
        <w:rPr>
          <w:lang w:val="ru-RU"/>
        </w:rPr>
        <w:t>специальный</w:t>
      </w:r>
      <w:r>
        <w:rPr>
          <w:rFonts w:hint="default"/>
          <w:lang w:val="ru-RU"/>
        </w:rPr>
        <w:t xml:space="preserve"> счет</w:t>
      </w:r>
      <w:r>
        <w:t xml:space="preserve"> задаток в размере </w:t>
      </w:r>
      <w:r>
        <w:rPr>
          <w:rFonts w:hint="default"/>
          <w:lang w:val="ru-RU"/>
        </w:rPr>
        <w:t>10</w:t>
      </w:r>
      <w:r>
        <w:t xml:space="preserve">% начальной цены продажи имущества в счет обеспечения оплаты следующего приобретаемого на проводимом Организатором торгах имущества: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к</w:t>
      </w:r>
      <w:r>
        <w:rPr>
          <w:rFonts w:hint="default" w:ascii="Times New Roman" w:hAnsi="Times New Roman" w:eastAsia="SimSun" w:cs="Times New Roman"/>
          <w:color w:val="000000"/>
          <w:kern w:val="0"/>
          <w:sz w:val="24"/>
          <w:szCs w:val="24"/>
          <w:lang w:val="en-US" w:eastAsia="zh-CN" w:bidi="ar"/>
        </w:rPr>
        <w:t>вартира, площадью 49 кв.м., расположенная по адресу: Кемеровская область, г. Березовский, ул. Черняховского, д. 22, кв. 61, кадастровый номер: 42:22:0102009:841, этаж № 2</w:t>
      </w:r>
      <w:r>
        <w:rPr>
          <w:rFonts w:hint="default" w:ascii="Times New Roman" w:hAnsi="Times New Roman" w:eastAsia="SimSun" w:cs="Times New Roman"/>
          <w:color w:val="000000"/>
          <w:kern w:val="0"/>
          <w:sz w:val="24"/>
          <w:szCs w:val="24"/>
          <w:lang w:val="ru-RU" w:eastAsia="zh-CN" w:bidi="ar"/>
        </w:rPr>
        <w:t xml:space="preserve">, находящаяся в залоге у </w:t>
      </w:r>
      <w:r>
        <w:rPr>
          <w:rFonts w:hint="default" w:ascii="Times New Roman" w:hAnsi="Times New Roman" w:eastAsia="SimSun" w:cs="Times New Roman"/>
          <w:color w:val="000000"/>
          <w:kern w:val="0"/>
          <w:sz w:val="24"/>
          <w:szCs w:val="24"/>
          <w:lang w:val="en-US" w:eastAsia="zh-CN" w:bidi="ar"/>
        </w:rPr>
        <w:t>Швайцер Анастаси</w:t>
      </w:r>
      <w:r>
        <w:rPr>
          <w:rFonts w:hint="default" w:ascii="Times New Roman" w:hAnsi="Times New Roman" w:eastAsia="SimSun" w:cs="Times New Roman"/>
          <w:color w:val="000000"/>
          <w:kern w:val="0"/>
          <w:sz w:val="24"/>
          <w:szCs w:val="24"/>
          <w:lang w:val="ru-RU" w:eastAsia="zh-CN" w:bidi="ar"/>
        </w:rPr>
        <w:t>и</w:t>
      </w:r>
      <w:r>
        <w:rPr>
          <w:rFonts w:hint="default" w:ascii="Times New Roman" w:hAnsi="Times New Roman" w:eastAsia="SimSun" w:cs="Times New Roman"/>
          <w:color w:val="000000"/>
          <w:kern w:val="0"/>
          <w:sz w:val="24"/>
          <w:szCs w:val="24"/>
          <w:lang w:val="en-US" w:eastAsia="zh-CN" w:bidi="ar"/>
        </w:rPr>
        <w:t xml:space="preserve"> Евгеньевн</w:t>
      </w:r>
      <w:r>
        <w:rPr>
          <w:rFonts w:hint="default" w:ascii="Times New Roman" w:hAnsi="Times New Roman" w:eastAsia="SimSun" w:cs="Times New Roman"/>
          <w:color w:val="000000"/>
          <w:kern w:val="0"/>
          <w:sz w:val="24"/>
          <w:szCs w:val="24"/>
          <w:lang w:val="ru-RU" w:eastAsia="zh-CN" w:bidi="ar"/>
        </w:rPr>
        <w:t xml:space="preserve">ы на основании договора залога от 18.04.2019 г. </w:t>
      </w:r>
    </w:p>
    <w:p w14:paraId="146B7BD4">
      <w:pPr>
        <w:pStyle w:val="13"/>
        <w:numPr>
          <w:ilvl w:val="0"/>
          <w:numId w:val="0"/>
        </w:numPr>
        <w:spacing w:before="0" w:after="0"/>
        <w:ind w:leftChars="0"/>
        <w:jc w:val="both"/>
      </w:pPr>
    </w:p>
    <w:p w14:paraId="38CFA377">
      <w:pPr>
        <w:jc w:val="both"/>
      </w:pPr>
    </w:p>
    <w:p w14:paraId="3F2016AE">
      <w:pPr>
        <w:pStyle w:val="8"/>
        <w:widowControl/>
        <w:ind w:right="0" w:firstLine="54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ОБЯЗАННОСТИ СТОРОН</w:t>
      </w:r>
    </w:p>
    <w:p w14:paraId="1144ECCD">
      <w:pPr>
        <w:pStyle w:val="8"/>
        <w:widowControl/>
        <w:ind w:right="0" w:firstLine="540"/>
        <w:jc w:val="center"/>
        <w:rPr>
          <w:rFonts w:ascii="Times New Roman" w:hAnsi="Times New Roman" w:cs="Times New Roman"/>
          <w:sz w:val="24"/>
          <w:szCs w:val="24"/>
        </w:rPr>
      </w:pPr>
    </w:p>
    <w:p w14:paraId="14228A42">
      <w:pPr>
        <w:pStyle w:val="8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 Претендент обязан:</w:t>
      </w:r>
    </w:p>
    <w:p w14:paraId="0EAFEB53">
      <w:pPr>
        <w:pStyle w:val="8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2.1.1. Обеспечить поступление указанных в п. 1.1 настоящего договора денежных средств на </w:t>
      </w:r>
      <w:r>
        <w:rPr>
          <w:rFonts w:ascii="Times New Roman" w:hAnsi="Times New Roman" w:cs="Times New Roman"/>
          <w:sz w:val="24"/>
          <w:szCs w:val="24"/>
          <w:lang w:val="ru-RU"/>
        </w:rPr>
        <w:t>специальный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счет </w:t>
      </w:r>
      <w:r>
        <w:rPr>
          <w:rFonts w:ascii="Times New Roman" w:hAnsi="Times New Roman" w:cs="Times New Roman"/>
          <w:sz w:val="24"/>
          <w:szCs w:val="24"/>
        </w:rPr>
        <w:t xml:space="preserve">в срок до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09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09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.202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5</w:t>
      </w:r>
      <w:r>
        <w:rPr>
          <w:rFonts w:ascii="Times New Roman" w:hAnsi="Times New Roman" w:cs="Times New Roman"/>
          <w:sz w:val="24"/>
          <w:szCs w:val="24"/>
        </w:rPr>
        <w:t>г. 16:00 МСК.</w:t>
      </w:r>
    </w:p>
    <w:p w14:paraId="6B1207BE">
      <w:pPr>
        <w:pStyle w:val="8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2.1.2. В случае признания Претендента победителем аукциона в срок не позднее 5 рабочих дней с момента утверждения Организатором торгов протокола об итогах аукциона заключить с продавцом договор купли-продажи по приобретению указанного в п. 1.1 настоящего договора имущества, при этом перечисленный Претендентом задаток засчитывается продавцом в счет оплаты по заключенному договору купли-продажи.</w:t>
      </w:r>
    </w:p>
    <w:p w14:paraId="439FC5B8">
      <w:pPr>
        <w:pStyle w:val="8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 отказе Претендента от заключения в установленный информационным сообщением срок договора купли-продажи задаток ему Организатором торгов не возвращается, а Претендент утрачивает право на заключение договора купли-продажи.</w:t>
      </w:r>
    </w:p>
    <w:p w14:paraId="0CFD277D">
      <w:pPr>
        <w:pStyle w:val="8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 Организатор торгов обязан:</w:t>
      </w:r>
    </w:p>
    <w:p w14:paraId="373BA160">
      <w:pPr>
        <w:pStyle w:val="8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2.2.1. В случае отзыва Претендентом поданной заявки в срок не позднее 5 дней до окончания срока приема заявок, вернуть задаток в течение 5 рабочих дней со дня поступления уведомления об отзыве заявки на счет, указанный Претендентом.</w:t>
      </w:r>
    </w:p>
    <w:p w14:paraId="4DED4E5F">
      <w:pPr>
        <w:pStyle w:val="8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2.2.2. В случае снятия предмета торгов с аукциона, вернуть задаток в течение 5 рабочих дней со дня принятия решения об отмене аукциона.</w:t>
      </w:r>
    </w:p>
    <w:p w14:paraId="1D6538E4">
      <w:pPr>
        <w:pStyle w:val="8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2.2.3. В случае принятия решения комиссией по проведению аукциона об отказе в допуске Претендента к участию в аукционе, вернуть задаток в течение 5 рабочих дней со дня подписания комиссией протокола об итогах приема заявок либо в течение 5 рабочих дней с момента поступления задатка на </w:t>
      </w:r>
      <w:r>
        <w:rPr>
          <w:rFonts w:ascii="Times New Roman" w:hAnsi="Times New Roman" w:cs="Times New Roman"/>
          <w:sz w:val="24"/>
          <w:szCs w:val="24"/>
          <w:lang w:val="ru-RU"/>
        </w:rPr>
        <w:t>специальный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счет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4CEBB0EC">
      <w:pPr>
        <w:pStyle w:val="8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2.2.4. В случае непризнания Претендента победителем аукциона, вернуть задаток в течение 5 рабочих дней со дня учреждения Организатором торгов протокола об итогах аукциона.</w:t>
      </w:r>
    </w:p>
    <w:p w14:paraId="7D9319E1">
      <w:pPr>
        <w:pStyle w:val="9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14:paraId="1B18A5FA">
      <w:pPr>
        <w:pStyle w:val="8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СРОК ДЕЙСТВИЯ ДОГОВОРА</w:t>
      </w:r>
    </w:p>
    <w:p w14:paraId="72F5F04E">
      <w:pPr>
        <w:pStyle w:val="9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14:paraId="211696FD">
      <w:pPr>
        <w:pStyle w:val="8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3.1. Настоящий договор вступает в силу со дня его подписания сторонами.</w:t>
      </w:r>
    </w:p>
    <w:p w14:paraId="3325BE30">
      <w:pPr>
        <w:pStyle w:val="8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3.2. Отношения между сторонами по настоящему договору прекращаются по исполнении ими всех условий настоящего договора и проведения полного взаиморасчета.</w:t>
      </w:r>
    </w:p>
    <w:p w14:paraId="63472F33">
      <w:pPr>
        <w:pStyle w:val="9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14:paraId="0F7BEA1A">
      <w:pPr>
        <w:pStyle w:val="8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ЗАКЛЮЧИТЕЛЬНЫЕ ПОЛОЖЕНИЯ</w:t>
      </w:r>
    </w:p>
    <w:p w14:paraId="20D21C42">
      <w:pPr>
        <w:pStyle w:val="9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14:paraId="3BC9DEDD">
      <w:pPr>
        <w:pStyle w:val="8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4.1. Споры, возникающие при исполнении настоящего договора, разрешаются сторонами путем переговоров между собой, а в случае не достижения согласия - рассматриваются в Арбитражном суде Красноярского края.</w:t>
      </w:r>
    </w:p>
    <w:p w14:paraId="59E45070">
      <w:pPr>
        <w:pStyle w:val="8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4.2. Настоящий договор составлен в двух экземплярах, имеющих одинаковую юридическую силу, один из которых находится у Организатора торгов, а другой - у Претендента.</w:t>
      </w:r>
    </w:p>
    <w:p w14:paraId="07A28381">
      <w:pPr>
        <w:pStyle w:val="8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4.3. Во всем ином, что не предусмотрено настоящим договором, стороны руководствуются действующим законодательством РФ.</w:t>
      </w:r>
    </w:p>
    <w:p w14:paraId="2295FBF5">
      <w:pPr>
        <w:pStyle w:val="9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14:paraId="15EACD5C">
      <w:pPr>
        <w:pStyle w:val="8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АДРЕСА И ПЛАТЕЖНЫЕ РЕКВИЗИТЫ СТОРОН</w:t>
      </w:r>
    </w:p>
    <w:p w14:paraId="4450FE43">
      <w:pPr>
        <w:pStyle w:val="9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14:paraId="07240986">
      <w:pPr>
        <w:pStyle w:val="9"/>
        <w:widowControl/>
        <w:ind w:right="0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Организатор торгов: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получатель –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Кубрак Екатерина Александровна</w:t>
      </w:r>
      <w:r>
        <w:rPr>
          <w:rFonts w:hint="default" w:ascii="Times New Roman" w:hAnsi="Times New Roman" w:cs="Times New Roman"/>
          <w:sz w:val="24"/>
          <w:szCs w:val="24"/>
        </w:rPr>
        <w:t xml:space="preserve">, номер счёта: </w:t>
      </w:r>
      <w:r>
        <w:rPr>
          <w:rFonts w:hint="default" w:ascii="Times New Roman" w:hAnsi="Times New Roman" w:eastAsia="SimSun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40817810250202589563</w:t>
      </w:r>
      <w:r>
        <w:rPr>
          <w:rFonts w:hint="default" w:ascii="Times New Roman" w:hAnsi="Times New Roman" w:cs="Times New Roman"/>
          <w:sz w:val="24"/>
          <w:szCs w:val="24"/>
        </w:rPr>
        <w:t xml:space="preserve">, ФИЛИАЛ "ЦЕНТРАЛЬНЫЙ" ПАО "СОВКОМБАНК", БИК: 045004763, Корреспондентский счёт: 30101810150040000763, ИНН: 4401116480. </w:t>
      </w:r>
    </w:p>
    <w:p w14:paraId="4DD94B3F">
      <w:pPr>
        <w:pStyle w:val="9"/>
        <w:widowControl/>
        <w:ind w:right="0"/>
        <w:rPr>
          <w:rFonts w:hint="default" w:ascii="Times New Roman" w:hAnsi="Times New Roman" w:cs="Times New Roman"/>
          <w:sz w:val="24"/>
          <w:szCs w:val="24"/>
        </w:rPr>
      </w:pPr>
    </w:p>
    <w:p w14:paraId="1024528B">
      <w:pPr>
        <w:pStyle w:val="9"/>
        <w:widowControl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Претендент (реквизиты): _____________________________________________________</w:t>
      </w:r>
    </w:p>
    <w:p w14:paraId="06CEEFFC">
      <w:pPr>
        <w:pStyle w:val="9"/>
        <w:widowControl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______________________________________________________________________</w:t>
      </w:r>
    </w:p>
    <w:p w14:paraId="684F224F">
      <w:pPr>
        <w:pStyle w:val="9"/>
        <w:widowControl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______________________________________________________________________</w:t>
      </w:r>
    </w:p>
    <w:p w14:paraId="3FEF5BC3">
      <w:pPr>
        <w:pStyle w:val="9"/>
        <w:widowControl/>
        <w:ind w:right="0"/>
        <w:rPr>
          <w:rFonts w:ascii="Times New Roman" w:hAnsi="Times New Roman" w:cs="Times New Roman"/>
          <w:sz w:val="22"/>
          <w:szCs w:val="22"/>
        </w:rPr>
      </w:pPr>
    </w:p>
    <w:p w14:paraId="590FD971">
      <w:pPr>
        <w:pStyle w:val="9"/>
        <w:widowControl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           6. ПОДПИСИ СТОРОН</w:t>
      </w:r>
    </w:p>
    <w:p w14:paraId="6F472E50">
      <w:pPr>
        <w:pStyle w:val="9"/>
        <w:widowControl/>
        <w:ind w:right="0"/>
        <w:rPr>
          <w:rFonts w:ascii="Times New Roman" w:hAnsi="Times New Roman" w:cs="Times New Roman"/>
          <w:sz w:val="22"/>
          <w:szCs w:val="22"/>
        </w:rPr>
      </w:pPr>
    </w:p>
    <w:p w14:paraId="464D782B">
      <w:pPr>
        <w:pStyle w:val="9"/>
        <w:widowControl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Организатор торгов:                                   Претендент:</w:t>
      </w:r>
    </w:p>
    <w:p w14:paraId="4D5F296E">
      <w:pPr>
        <w:pStyle w:val="9"/>
        <w:widowControl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-165100</wp:posOffset>
            </wp:positionH>
            <wp:positionV relativeFrom="paragraph">
              <wp:posOffset>110490</wp:posOffset>
            </wp:positionV>
            <wp:extent cx="2392045" cy="1598295"/>
            <wp:effectExtent l="0" t="0" r="8255" b="1905"/>
            <wp:wrapNone/>
            <wp:docPr id="1" name="Рисунок 1" descr="C:\Users\sale_1\Desktop\Алина\ДЛЯ РАБОТЫ\К.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C:\Users\sale_1\Desktop\Алина\ДЛЯ РАБОТЫ\К.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392326" cy="15983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7C1E3CD2">
      <w:pPr>
        <w:pStyle w:val="9"/>
        <w:widowControl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___________________________                  _________________________</w:t>
      </w:r>
    </w:p>
    <w:p w14:paraId="06AB6C1E">
      <w:pPr>
        <w:pStyle w:val="9"/>
        <w:widowControl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___________________________                  _________________________</w:t>
      </w:r>
    </w:p>
    <w:p w14:paraId="6DDA47F2">
      <w:pPr>
        <w:pStyle w:val="9"/>
        <w:widowControl/>
        <w:ind w:right="0"/>
        <w:rPr>
          <w:rFonts w:ascii="Times New Roman" w:hAnsi="Times New Roman" w:cs="Times New Roman"/>
          <w:sz w:val="22"/>
          <w:szCs w:val="22"/>
        </w:rPr>
      </w:pPr>
    </w:p>
    <w:p w14:paraId="01CB4597">
      <w:pPr>
        <w:pStyle w:val="9"/>
        <w:widowControl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М.П.                                                                                        М.П.</w:t>
      </w:r>
    </w:p>
    <w:p w14:paraId="1D2A5CA4">
      <w:pPr>
        <w:rPr>
          <w:sz w:val="22"/>
          <w:szCs w:val="22"/>
        </w:rPr>
      </w:pP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9FA20F6"/>
    <w:multiLevelType w:val="multilevel"/>
    <w:tmpl w:val="D9FA20F6"/>
    <w:lvl w:ilvl="0" w:tentative="0">
      <w:start w:val="1"/>
      <w:numFmt w:val="decimal"/>
      <w:suff w:val="space"/>
      <w:lvlText w:val="%1."/>
      <w:lvlJc w:val="left"/>
      <w:pPr>
        <w:ind w:left="0" w:leftChars="0" w:firstLine="0" w:firstLineChars="0"/>
      </w:pPr>
      <w:rPr>
        <w:rFonts w:hint="default"/>
      </w:rPr>
    </w:lvl>
    <w:lvl w:ilvl="1" w:tentative="0">
      <w:start w:val="1"/>
      <w:numFmt w:val="decimal"/>
      <w:suff w:val="space"/>
      <w:lvlText w:val="%1.%2."/>
      <w:lvlJc w:val="left"/>
      <w:pPr>
        <w:ind w:left="0" w:leftChars="0" w:firstLine="0" w:firstLineChars="0"/>
      </w:pPr>
      <w:rPr>
        <w:rFonts w:hint="default"/>
      </w:rPr>
    </w:lvl>
    <w:lvl w:ilvl="2" w:tentative="0">
      <w:start w:val="1"/>
      <w:numFmt w:val="decimal"/>
      <w:suff w:val="space"/>
      <w:lvlText w:val="%1.%2.%3."/>
      <w:lvlJc w:val="left"/>
      <w:pPr>
        <w:ind w:left="0" w:leftChars="0" w:firstLine="0" w:firstLineChars="0"/>
      </w:pPr>
      <w:rPr>
        <w:rFonts w:hint="default"/>
      </w:rPr>
    </w:lvl>
    <w:lvl w:ilvl="3" w:tentative="0">
      <w:start w:val="1"/>
      <w:numFmt w:val="decimal"/>
      <w:suff w:val="space"/>
      <w:lvlText w:val="%1.%2.%3.%4."/>
      <w:lvlJc w:val="left"/>
      <w:pPr>
        <w:ind w:left="0" w:leftChars="0" w:firstLine="0" w:firstLineChars="0"/>
      </w:pPr>
      <w:rPr>
        <w:rFonts w:hint="default"/>
      </w:rPr>
    </w:lvl>
    <w:lvl w:ilvl="4" w:tentative="0">
      <w:start w:val="1"/>
      <w:numFmt w:val="decimal"/>
      <w:suff w:val="space"/>
      <w:lvlText w:val="%1.%2.%3.%4.%5."/>
      <w:lvlJc w:val="left"/>
      <w:pPr>
        <w:ind w:left="0" w:leftChars="0" w:firstLine="0" w:firstLineChars="0"/>
      </w:pPr>
      <w:rPr>
        <w:rFonts w:hint="default"/>
      </w:rPr>
    </w:lvl>
    <w:lvl w:ilvl="5" w:tentative="0">
      <w:start w:val="1"/>
      <w:numFmt w:val="decimal"/>
      <w:suff w:val="space"/>
      <w:lvlText w:val="%1.%2.%3.%4.%5.%6."/>
      <w:lvlJc w:val="left"/>
      <w:pPr>
        <w:ind w:left="0" w:leftChars="0" w:firstLine="0" w:firstLineChars="0"/>
      </w:pPr>
      <w:rPr>
        <w:rFonts w:hint="default"/>
      </w:rPr>
    </w:lvl>
    <w:lvl w:ilvl="6" w:tentative="0">
      <w:start w:val="1"/>
      <w:numFmt w:val="decimal"/>
      <w:suff w:val="space"/>
      <w:lvlText w:val="%1.%2.%3.%4.%5.%6.%7."/>
      <w:lvlJc w:val="left"/>
      <w:pPr>
        <w:ind w:left="0" w:leftChars="0" w:firstLine="0" w:firstLineChars="0"/>
      </w:pPr>
      <w:rPr>
        <w:rFonts w:hint="default"/>
      </w:rPr>
    </w:lvl>
    <w:lvl w:ilvl="7" w:tentative="0">
      <w:start w:val="1"/>
      <w:numFmt w:val="decimal"/>
      <w:suff w:val="space"/>
      <w:lvlText w:val="%1.%2.%3.%4.%5.%6.%7.%8."/>
      <w:lvlJc w:val="left"/>
      <w:pPr>
        <w:ind w:left="0" w:leftChars="0" w:firstLine="0" w:firstLineChars="0"/>
      </w:pPr>
      <w:rPr>
        <w:rFonts w:hint="default"/>
      </w:rPr>
    </w:lvl>
    <w:lvl w:ilvl="8" w:tentative="0">
      <w:start w:val="1"/>
      <w:numFmt w:val="decimal"/>
      <w:suff w:val="space"/>
      <w:lvlText w:val="%1.%2.%3.%4.%5.%6.%7.%8.%9."/>
      <w:lvlJc w:val="left"/>
      <w:pPr>
        <w:ind w:left="0" w:leftChars="0" w:firstLine="0" w:firstLineChars="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1449"/>
    <w:rsid w:val="00045185"/>
    <w:rsid w:val="00052E79"/>
    <w:rsid w:val="000723EF"/>
    <w:rsid w:val="00092E99"/>
    <w:rsid w:val="000A5565"/>
    <w:rsid w:val="000E2344"/>
    <w:rsid w:val="001055F6"/>
    <w:rsid w:val="00117486"/>
    <w:rsid w:val="0013017A"/>
    <w:rsid w:val="00135CCF"/>
    <w:rsid w:val="001B372C"/>
    <w:rsid w:val="001C2A92"/>
    <w:rsid w:val="001C5B49"/>
    <w:rsid w:val="001D059A"/>
    <w:rsid w:val="001D53B9"/>
    <w:rsid w:val="0022214A"/>
    <w:rsid w:val="00227322"/>
    <w:rsid w:val="002A6703"/>
    <w:rsid w:val="002B6828"/>
    <w:rsid w:val="00310663"/>
    <w:rsid w:val="003125F9"/>
    <w:rsid w:val="00375539"/>
    <w:rsid w:val="003E0C9C"/>
    <w:rsid w:val="003F2A18"/>
    <w:rsid w:val="004046D2"/>
    <w:rsid w:val="00430CE6"/>
    <w:rsid w:val="004A26BA"/>
    <w:rsid w:val="004A28FE"/>
    <w:rsid w:val="004C0B49"/>
    <w:rsid w:val="004C3AC4"/>
    <w:rsid w:val="004D5958"/>
    <w:rsid w:val="005143C4"/>
    <w:rsid w:val="0053346B"/>
    <w:rsid w:val="00550C20"/>
    <w:rsid w:val="00571BB6"/>
    <w:rsid w:val="00601683"/>
    <w:rsid w:val="00616903"/>
    <w:rsid w:val="00641C57"/>
    <w:rsid w:val="00651449"/>
    <w:rsid w:val="00682673"/>
    <w:rsid w:val="00682DC4"/>
    <w:rsid w:val="006A1990"/>
    <w:rsid w:val="006C637A"/>
    <w:rsid w:val="006E0070"/>
    <w:rsid w:val="00703BE8"/>
    <w:rsid w:val="0072346D"/>
    <w:rsid w:val="00731B97"/>
    <w:rsid w:val="00755661"/>
    <w:rsid w:val="007A0D29"/>
    <w:rsid w:val="00827928"/>
    <w:rsid w:val="009074A0"/>
    <w:rsid w:val="009472F7"/>
    <w:rsid w:val="009774E6"/>
    <w:rsid w:val="00980262"/>
    <w:rsid w:val="00982EE5"/>
    <w:rsid w:val="009E57D8"/>
    <w:rsid w:val="009F7F5C"/>
    <w:rsid w:val="00A1396F"/>
    <w:rsid w:val="00A1445C"/>
    <w:rsid w:val="00A433B6"/>
    <w:rsid w:val="00A572C5"/>
    <w:rsid w:val="00A7134D"/>
    <w:rsid w:val="00A9674D"/>
    <w:rsid w:val="00AB375E"/>
    <w:rsid w:val="00AD0392"/>
    <w:rsid w:val="00AE4293"/>
    <w:rsid w:val="00AE5F26"/>
    <w:rsid w:val="00AE6BC8"/>
    <w:rsid w:val="00AF3CA1"/>
    <w:rsid w:val="00B65EBD"/>
    <w:rsid w:val="00B870D4"/>
    <w:rsid w:val="00BD3F0B"/>
    <w:rsid w:val="00C0457C"/>
    <w:rsid w:val="00C15BFA"/>
    <w:rsid w:val="00C20199"/>
    <w:rsid w:val="00C2553C"/>
    <w:rsid w:val="00C666E3"/>
    <w:rsid w:val="00CD0D15"/>
    <w:rsid w:val="00CF0BA7"/>
    <w:rsid w:val="00D043DA"/>
    <w:rsid w:val="00D43BF7"/>
    <w:rsid w:val="00D50B9D"/>
    <w:rsid w:val="00D561EA"/>
    <w:rsid w:val="00DD22FD"/>
    <w:rsid w:val="00DD4914"/>
    <w:rsid w:val="00DE3083"/>
    <w:rsid w:val="00E36DDB"/>
    <w:rsid w:val="00E44F5F"/>
    <w:rsid w:val="00EC2FDE"/>
    <w:rsid w:val="00ED115E"/>
    <w:rsid w:val="00EF28D2"/>
    <w:rsid w:val="00F004D5"/>
    <w:rsid w:val="00F25FB7"/>
    <w:rsid w:val="00F26AAA"/>
    <w:rsid w:val="00F365FA"/>
    <w:rsid w:val="00F90CBD"/>
    <w:rsid w:val="00FE3469"/>
    <w:rsid w:val="13212838"/>
    <w:rsid w:val="180776A0"/>
    <w:rsid w:val="20BF3DF6"/>
    <w:rsid w:val="21681D9F"/>
    <w:rsid w:val="23B056EF"/>
    <w:rsid w:val="3BAE7776"/>
    <w:rsid w:val="50880C6E"/>
    <w:rsid w:val="5E5837FF"/>
    <w:rsid w:val="5FB941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Emphasis"/>
    <w:basedOn w:val="2"/>
    <w:qFormat/>
    <w:uiPriority w:val="20"/>
    <w:rPr>
      <w:i/>
      <w:iCs/>
    </w:rPr>
  </w:style>
  <w:style w:type="character" w:styleId="5">
    <w:name w:val="Hyperlink"/>
    <w:basedOn w:val="2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styleId="6">
    <w:name w:val="Balloon Text"/>
    <w:basedOn w:val="1"/>
    <w:link w:val="12"/>
    <w:semiHidden/>
    <w:unhideWhenUsed/>
    <w:qFormat/>
    <w:uiPriority w:val="99"/>
    <w:rPr>
      <w:rFonts w:ascii="Segoe UI" w:hAnsi="Segoe UI" w:cs="Segoe UI"/>
      <w:sz w:val="18"/>
      <w:szCs w:val="18"/>
    </w:rPr>
  </w:style>
  <w:style w:type="table" w:styleId="7">
    <w:name w:val="Table Grid"/>
    <w:basedOn w:val="3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8">
    <w:name w:val="ConsNormal"/>
    <w:qFormat/>
    <w:uiPriority w:val="99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hAnsi="Arial" w:eastAsia="Times New Roman" w:cs="Arial"/>
      <w:sz w:val="20"/>
      <w:szCs w:val="20"/>
      <w:lang w:val="ru-RU" w:eastAsia="ru-RU" w:bidi="ar-SA"/>
    </w:rPr>
  </w:style>
  <w:style w:type="paragraph" w:customStyle="1" w:styleId="9">
    <w:name w:val="ConsNonformat"/>
    <w:qFormat/>
    <w:uiPriority w:val="9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hAnsi="Courier New" w:eastAsia="Times New Roman" w:cs="Courier New"/>
      <w:sz w:val="20"/>
      <w:szCs w:val="20"/>
      <w:lang w:val="ru-RU" w:eastAsia="ru-RU" w:bidi="ar-SA"/>
    </w:rPr>
  </w:style>
  <w:style w:type="paragraph" w:customStyle="1" w:styleId="10">
    <w:name w:val="ConsTitle"/>
    <w:qFormat/>
    <w:uiPriority w:val="9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hAnsi="Arial" w:eastAsia="Times New Roman" w:cs="Arial"/>
      <w:b/>
      <w:bCs/>
      <w:sz w:val="16"/>
      <w:szCs w:val="16"/>
      <w:lang w:val="ru-RU" w:eastAsia="ru-RU" w:bidi="ar-SA"/>
    </w:rPr>
  </w:style>
  <w:style w:type="paragraph" w:styleId="11">
    <w:name w:val="List Paragraph"/>
    <w:basedOn w:val="1"/>
    <w:qFormat/>
    <w:uiPriority w:val="34"/>
    <w:pPr>
      <w:ind w:left="720"/>
      <w:contextualSpacing/>
    </w:pPr>
  </w:style>
  <w:style w:type="character" w:customStyle="1" w:styleId="12">
    <w:name w:val="Текст выноски Знак"/>
    <w:basedOn w:val="2"/>
    <w:link w:val="6"/>
    <w:semiHidden/>
    <w:qFormat/>
    <w:uiPriority w:val="99"/>
    <w:rPr>
      <w:rFonts w:ascii="Segoe UI" w:hAnsi="Segoe UI" w:eastAsia="Times New Roman" w:cs="Segoe UI"/>
      <w:sz w:val="18"/>
      <w:szCs w:val="18"/>
      <w:lang w:eastAsia="ru-RU"/>
    </w:rPr>
  </w:style>
  <w:style w:type="paragraph" w:customStyle="1" w:styleId="13">
    <w:name w:val="indent"/>
    <w:basedOn w:val="1"/>
    <w:qFormat/>
    <w:uiPriority w:val="0"/>
    <w:pPr>
      <w:spacing w:before="240" w:after="240"/>
      <w:ind w:firstLine="708"/>
      <w:jc w:val="both"/>
    </w:pPr>
    <w:rPr>
      <w:rFonts w:eastAsia="Times New Roman" w:cs="Times New Roman"/>
      <w:szCs w:val="24"/>
      <w:lang w:eastAsia="ru-RU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729</Words>
  <Characters>4158</Characters>
  <Lines>34</Lines>
  <Paragraphs>9</Paragraphs>
  <TotalTime>0</TotalTime>
  <ScaleCrop>false</ScaleCrop>
  <LinksUpToDate>false</LinksUpToDate>
  <CharactersWithSpaces>4878</CharactersWithSpaces>
  <Application>WPS Office_12.2.0.21931_F1E327BC-269C-435d-A152-05C5408002CA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2019-08-07T14:17:00Z</dcterms:created>
  <dc:creator>ValidovaAR</dc:creator>
  <cp:lastModifiedBy>User</cp:lastModifiedBy>
  <cp:lastPrinted>2024-09-16T04:59:00Z</cp:lastPrinted>
  <dcterms:modified xsi:type="dcterms:W3CDTF">2025-08-05T01:22:34Z</dcterms:modified>
  <cp:revision>67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1049-12.2.0.21931</vt:lpwstr>
  </property>
  <property fmtid="{D5CDD505-2E9C-101B-9397-08002B2CF9AE}" pid="3" name="ICV">
    <vt:lpwstr>3E9606FF972A4F409894576338163B2E_12</vt:lpwstr>
  </property>
</Properties>
</file>