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54E0" w14:textId="77777777" w:rsidR="00C01762" w:rsidRPr="001600E9" w:rsidRDefault="001E5DF7" w:rsidP="00B85696">
      <w:pPr>
        <w:jc w:val="center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Договор купли-продажи</w:t>
      </w:r>
    </w:p>
    <w:p w14:paraId="6343DA3B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3D1806DD" w14:textId="77777777" w:rsidR="00C01762" w:rsidRPr="001600E9" w:rsidRDefault="001E5DF7" w:rsidP="0022437B">
      <w:pPr>
        <w:ind w:firstLine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Организатор торгов – финансовый управляющий Трохина Юрия Владиславовича (дата рождения: 22.08.1974, место рождения: город Новосибирск, адрес регистрации: 633004, Новосибирская область, город Новосибирск, Красный проспект, дом 232, квартира 32, ИНН: 540628789805, СНИЛС: 021-278-591 35), Кубрак Екатерина Александровна (ИНН 246417014946, рег. № 22308), - утверждена Решением Арбитражного суда Новосибирской области от 24.06.2025 г. по делу № А45-17929/2025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DCC28A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7C4126E5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Предмет договора</w:t>
      </w:r>
    </w:p>
    <w:p w14:paraId="6A7E2C4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земельный участок с кадастровым номером: 54:20:010511:15, площадью: 600 кв.м., вид разрешённого использования: для садоводства, расположенный по адресу: обл. Новосибирская, р-н Ордынский, рп.Ордынское, некоммерческое садоводческое товарищество "Рябинка", ул. Приморская, 26.</w:t>
      </w:r>
    </w:p>
    <w:p w14:paraId="0575A13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1600E9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0CB5C93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34F60D5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5E6A96D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3A28FCC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Если в процессе оформления Имущества и/или государственной регистрации перехода права собственности на него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5176869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4B15DA9E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lastRenderedPageBreak/>
        <w:t>государственная пошлина за государственную регистрацию перехода права собственности в органах Росреестра;</w:t>
      </w:r>
    </w:p>
    <w:p w14:paraId="2070CD1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подготовка, оформление и подача документов в Росреестр и/или МФЦ;</w:t>
      </w:r>
    </w:p>
    <w:p w14:paraId="2278E89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нотариальное удостоверение договора и иных документов в случаях, когда оно требуется (в том числе при отчуждении доли в праве общей собственности);</w:t>
      </w:r>
    </w:p>
    <w:p w14:paraId="137EA3CC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получение выписок из ЕГРН, справок, технической и кадастровой документации;</w:t>
      </w:r>
    </w:p>
    <w:p w14:paraId="7C5E8785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проведение кадастровых работ и межевания земельного участка (при необходимости);</w:t>
      </w:r>
    </w:p>
    <w:p w14:paraId="5182054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переоформление лицевых счетов и заключение (переоформление) договоров с ресурсоснабжающими и обслуживающими организациями (электро-, водо-, газо-, теплоснабжение, водоотведение, вывоз ТКО);</w:t>
      </w:r>
    </w:p>
    <w:p w14:paraId="041180B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задолженности и текущих платежей за жилищно-коммунальные услуги и взносов на капитальный ремонт, начисленных в отношении Имущества после его передачи;</w:t>
      </w:r>
    </w:p>
    <w:p w14:paraId="2E82982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снятие обременений и погашение регистрационных записей в отношении Имущества;</w:t>
      </w:r>
    </w:p>
    <w:p w14:paraId="6313330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ремонт и устранение любых недостатков Имущества;</w:t>
      </w:r>
    </w:p>
    <w:p w14:paraId="72999C36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нотариальные расходы и расходы на оформление доверенностей;</w:t>
      </w:r>
    </w:p>
    <w:p w14:paraId="0A0AA97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56134E8F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налоги и сборы, связанные с владением и использованием Имущества (в том числе налог на имущество и земельный налог);</w:t>
      </w:r>
    </w:p>
    <w:p w14:paraId="3DB99D1D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14CD413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14BD97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Продажа имущества производится в рамках Решения Арбитражного суда Новосибирской области от 24.06.2025 г. по делу № А45-17929/2025 и на основании Протокола о результатах проведения торгов в форме аукциона по лоту № 1.</w:t>
      </w:r>
    </w:p>
    <w:p w14:paraId="75E24EB8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05F2D44B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Цена и расчеты по договору</w:t>
      </w:r>
    </w:p>
    <w:p w14:paraId="4FC7070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1648F5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9DB3474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5977FCB0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6B25CEC4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Порядок приема-передачи имущества и переход права собственности</w:t>
      </w:r>
    </w:p>
    <w:p w14:paraId="247A257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7CFB642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обязан принять имущество по Акту приема-передачи.</w:t>
      </w:r>
    </w:p>
    <w:p w14:paraId="533DE88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090F9F6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761EF28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 (ЕГРН) при условии полной оплаты Имущества.</w:t>
      </w:r>
    </w:p>
    <w:p w14:paraId="43209DB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55004B8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Ответственность сторон и порядок разрешения споров</w:t>
      </w:r>
    </w:p>
    <w:p w14:paraId="79D1F55C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6BEC78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</w:rPr>
        <w:t>Имущество возврату не подлежит.</w:t>
      </w:r>
    </w:p>
    <w:p w14:paraId="5FFA533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1588EBA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D682C31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Заключительные положения</w:t>
      </w:r>
    </w:p>
    <w:p w14:paraId="00743D9B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066C02B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 w:rsidRPr="001600E9">
        <w:rPr>
          <w:color w:val="auto"/>
        </w:rPr>
        <w:t>Договора.</w:t>
      </w:r>
    </w:p>
    <w:p w14:paraId="78B0915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28C5067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2996CD7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9542E5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4D825B41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1CF3A76E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4A6AE022" w14:textId="77777777" w:rsidR="00C01762" w:rsidRPr="001600E9" w:rsidRDefault="001E5DF7" w:rsidP="0022437B">
      <w:pPr>
        <w:jc w:val="both"/>
        <w:rPr>
          <w:color w:val="auto"/>
        </w:rPr>
      </w:pPr>
      <w:r w:rsidRPr="001600E9">
        <w:rPr>
          <w:b/>
          <w:color w:val="auto"/>
        </w:rPr>
        <w:t>Подписи Сторон:</w:t>
      </w:r>
    </w:p>
    <w:p w14:paraId="01254289" w14:textId="77777777" w:rsidR="00C01762" w:rsidRPr="001600E9" w:rsidRDefault="00C01762" w:rsidP="0022437B">
      <w:pPr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600E9" w14:paraId="5D33AFAE" w14:textId="77777777">
        <w:tc>
          <w:tcPr>
            <w:tcW w:w="4844" w:type="dxa"/>
          </w:tcPr>
          <w:p w14:paraId="0D762E8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09E2CF34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ПОКУПАТЕЛЬ:</w:t>
            </w:r>
          </w:p>
        </w:tc>
      </w:tr>
      <w:tr w:rsidR="001E5DF7" w:rsidRPr="001600E9" w14:paraId="1904A5F1" w14:textId="77777777">
        <w:tc>
          <w:tcPr>
            <w:tcW w:w="4844" w:type="dxa"/>
          </w:tcPr>
          <w:p w14:paraId="22E787BB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14:paraId="274EE71A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1E5DF7" w:rsidRPr="001600E9" w14:paraId="7F2E6B43" w14:textId="77777777">
        <w:tc>
          <w:tcPr>
            <w:tcW w:w="4844" w:type="dxa"/>
          </w:tcPr>
          <w:p w14:paraId="625ECBB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69B92788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C01762" w:rsidRPr="001E5DF7" w14:paraId="28DF504A" w14:textId="77777777">
        <w:tc>
          <w:tcPr>
            <w:tcW w:w="4844" w:type="dxa"/>
          </w:tcPr>
          <w:p w14:paraId="32D5E7E5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532E0E16" w14:textId="77777777" w:rsidR="00C01762" w:rsidRPr="001E5DF7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</w:tr>
    </w:tbl>
    <w:p w14:paraId="1A17E8BF" w14:textId="77777777" w:rsidR="00C01762" w:rsidRPr="001E5DF7" w:rsidRDefault="00C01762" w:rsidP="0022437B">
      <w:pPr>
        <w:jc w:val="both"/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524EAE"/>
    <w:multiLevelType w:val="multilevel"/>
    <w:tmpl w:val="5A2E2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0E9"/>
    <w:rsid w:val="001E5DF7"/>
    <w:rsid w:val="0022437B"/>
    <w:rsid w:val="0029639D"/>
    <w:rsid w:val="00326F90"/>
    <w:rsid w:val="0037587D"/>
    <w:rsid w:val="00AA1D8D"/>
    <w:rsid w:val="00B47730"/>
    <w:rsid w:val="00B85696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8561D"/>
  <w15:docId w15:val="{2E8D2B57-2423-4212-8DFB-48FCB94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2026-07-20T07:41:00Z</dcterms:modified>
  <cp:category/>
</cp:coreProperties>
</file>