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Чуварёва Артёма Сергеевича (дата рождения: 07.01.1979, место рождения: гор. Якутск, адрес регистрации: 630040, Новосибирская область, г. Новосибирск, ул. Лобачевского, д. 71/2, кв. 64, ИНН: 143500703750, СНИЛС: 039-328-081 63), Кубрак Екатерина Александровна (ИНН 246417014946, рег. № 22308), - утверждена Решением Арбитражного суда Новосибирской области от 16.10.2025 г. по делу № А45-26607/2025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нежилое помещение (гараж), расположенный по адресу: Новосибирская область, г. Новосибирск, р-н Дзержинский, ГСК "Агрегат", бокс 109, площадь: 23,4 кв.м., кадастровый номер: 54:35:000000:20653.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16.10.2025 г. по делу № А45-26607/2025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