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Сапранковой Елены Дмитриевны (дата рождения: 29.10.1967, место рождения: с. Кежма Кежемского р-на Красноярского края, адрес регистрации: 660049, г. Красноярск, ул. Конституции СССР, д. 21, кв. 76, ИНН: 246604544340, СНИЛС: 105-655-150 37), Кубрак Екатерина Александровна (ИНН 246417014946, рег. № 22308), - утверждена Решением Арбитражного суда Красноярского края от 27.03.2025 г. по делу № А33-69/2025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 с кадастровым номером: 24:13:2301001:1724, площадью: 189 +/- 4,81 кв.м., вид разрешенного использования: магазины, расположенный по адресу: Красноярский край, Ермаковский район, с. Жеблахты, ул. Ойская, д. 57 а.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Красноярского края от 27.03.2025 г. по делу № А33-69/2025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