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3"/>
          <w:shd w:fill="FFFFFF" w:val="clear"/>
        </w:rPr>
        <w:t xml:space="preserve">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3"/>
          <w:shd w:fill="FFFFFF" w:val="clear"/>
        </w:rPr>
        <w:t xml:space="preserve">Договор о задатке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33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3"/>
          <w:shd w:fill="FFFFFF" w:val="clear"/>
        </w:rPr>
        <w:t xml:space="preserve"> ________</w:t>
      </w:r>
    </w:p>
    <w:p>
      <w:pPr>
        <w:spacing w:before="100" w:after="100" w:line="240"/>
        <w:ind w:right="0" w:left="0" w:firstLine="0"/>
        <w:jc w:val="right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 </w:t>
      </w:r>
    </w:p>
    <w:p>
      <w:pPr>
        <w:spacing w:before="100" w:after="100" w:line="240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г. Казань                                                                                                                     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«____»____________20__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г                                                                                                                            </w:t>
      </w:r>
    </w:p>
    <w:p>
      <w:pPr>
        <w:spacing w:before="100" w:after="100" w:line="240"/>
        <w:ind w:right="0" w:left="0" w:firstLine="142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   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ООО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Электронная торговая площадка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именуемое в дальнейшем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Оператор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»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в лице директора Думпе Марины Викторовны, действующего на основании Устава, с одной стороны, и претендент на участие в электронных торгах__________________________________,  в лице____________________________, действующего(-ей) на основании ______________________________________________ , именуемое (-ый) в дальнейшем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Заявитель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с другой стороны, заключили настоящий Договор о задатке (далее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Договор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»)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о нижеследующем:</w:t>
      </w:r>
    </w:p>
    <w:p>
      <w:pPr>
        <w:spacing w:before="100" w:after="100" w:line="240"/>
        <w:ind w:right="0" w:left="567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FFFFFF" w:val="clear"/>
        </w:rPr>
        <w:t xml:space="preserve">Предмет Договора</w:t>
      </w:r>
    </w:p>
    <w:p>
      <w:pPr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1.1.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Предметом   Договора   является   внесение   Заявителем   задатка   (далее   -   Задаток)   для   участия   в   электронных      торгах: код торгов_________________ по  продаже лота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1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 ______________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в дальнейшем именуемое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имущество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»),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проводимых на электронной площадке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АРБбитЛот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»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по адресу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1"/>
            <w:u w:val="single"/>
            <w:shd w:fill="FFFFFF" w:val="clear"/>
          </w:rPr>
          <w:t xml:space="preserve">https://torgi.arbbitlot.ru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 в сети Интернет (далее по тексту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ЭТП), в соответствии с Регламентом электронной площадки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АРБбитЛот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и Приказом Министерства экономического развития Российской Федерации от  23 июля 2015 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1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495.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Размер задатка указан в сообщении о торгах, опубликованном в официальном издании.</w:t>
      </w:r>
    </w:p>
    <w:p>
      <w:pPr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1.2.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Условия настоящего договора определены Оператором в стандартной форме, размещаемой на сайте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1"/>
            <w:u w:val="single"/>
            <w:shd w:fill="FFFFFF" w:val="clear"/>
          </w:rPr>
          <w:t xml:space="preserve">https://torgi.arbbitlot.ru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>
      <w:pPr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1.3.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>
      <w:pPr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1.4.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Заявитель не вправе изменять условия настоящего договора.</w:t>
      </w:r>
    </w:p>
    <w:p>
      <w:pPr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FFFFFF" w:val="clear"/>
        </w:rPr>
        <w:t xml:space="preserve">Порядок и сроки расчетов</w:t>
      </w:r>
    </w:p>
    <w:p>
      <w:pPr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2.1.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Заявитель должен перечислить задаток на расчетный счет оператора ЭТП в следующем порядке: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>
      <w:pPr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2.2.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Заявитель обязуется перечислить Задаток в следующий срок: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для участия в аукционе или конкурсе - в срок установленный в соответствии с сообщением о торгах,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 торгах.</w:t>
      </w:r>
    </w:p>
    <w:p>
      <w:pPr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2.3.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оператора ЭТП по следующим реквизитам: счет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1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 40702810429070013813,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открытый в ФИЛИАЛ "НИЖЕГОРОДСКИЙ" АО "АЛЬФА-БАНК", БИК 042202824.</w:t>
      </w:r>
    </w:p>
    <w:p>
      <w:pPr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2.4.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При перечислении задатка в назначении платежа необходимо указать: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Внесение задатка за участие в торгах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1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___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код (номер) торгов), номер лота и наименование должника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».</w:t>
      </w:r>
    </w:p>
    <w:p>
      <w:pPr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2.5.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Сумма задатка возвращается Оператором Заявителю, не являющемуся победителем торгов, при наличии у Оператора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отзыва заявки на участие в торгах до окончания срока приема заявок;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принятия решения Организатором торгов об отказе в допуске Заявителя к участию в торгах</w:t>
      </w:r>
    </w:p>
    <w:p>
      <w:pPr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Оператор возвращает задаток проигравшему участнику торгов только на основании заявления Организатора торгов (по форме Приложения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1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 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к соглашению о предоставлении счета для перечисления задатков) после подписания протокола о результатах проведения торгов. Срок направления Организатором торгов заявления на возврат задатка- не позднее следующего рабочего дня после подписания протокола о результатах проведения торгов, порядок направления- на электронную почту Оператора 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1"/>
          <w:shd w:fill="FFFFFF" w:val="clear"/>
        </w:rPr>
        <w:t xml:space="preserve">Ploshadka-torgi@yandex.ru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. Оператор не отвечает за нарушение установленных настоящим договором сроков возврата задатка, в случае несвоевременного предоставления Организатором заявления на возврат задатков на электронный адрес Оператора.</w:t>
      </w:r>
    </w:p>
    <w:p>
      <w:pPr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2.6.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Сумма Задатка не возвращается Заявителю в следующих случаях: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победы Заявителя на торгах и дальнейшего не заключения им договора купли-продажи с арбитражным управляющим в течение срока, установленного Федеральным законом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1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127-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ФЗ от 26.10.2002 г.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О несостоятельности (банкротстве)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»;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в случае не перечисления денежных средств в оплату лота в установленные договором купли-продажи сроки;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>
      <w:pPr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2.7.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В случае если в ходе проведения торгов (на любом этапе торгов) такие торги будут приостановлены решением уполномоченных государственных органов (ФАС, суд), никакие операции с суммами, заблокированными в качестве задатков, в период приостановки таких торгов не осуществляются.</w:t>
      </w:r>
    </w:p>
    <w:p>
      <w:pPr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2.8.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В случае не поступления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 настоящего Договора, обязательства Заявителя по внесению задатка считаются невыполненными. В этом случае Организатор торгов вправе не допустить Заявителя к участию в торгах.</w:t>
      </w:r>
    </w:p>
    <w:p>
      <w:pPr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2.9.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>
      <w:pPr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 </w:t>
      </w:r>
    </w:p>
    <w:p>
      <w:pPr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FFFFFF" w:val="clear"/>
        </w:rPr>
        <w:t xml:space="preserve">Прочие условия</w:t>
      </w:r>
    </w:p>
    <w:p>
      <w:pPr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3.1.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</w:t>
      </w:r>
    </w:p>
    <w:p>
      <w:pPr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3.2.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1"/>
            <w:u w:val="single"/>
            <w:shd w:fill="FFFFFF" w:val="clear"/>
          </w:rPr>
          <w:t xml:space="preserve">https://torgi.arbbitlot.ru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 и в сообщении о торгах опубликованном в соответствии с требованиями Федерального закона от 26.10.2002г.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1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 127-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ФЗ "О несостоятельности (банкротстве)".</w:t>
      </w:r>
    </w:p>
    <w:p>
      <w:pPr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3.3.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 если Заявитель не полностью заполнил сведения о себе или указал недостоверные сведения в п. 3.9. договора, а Организатор торгов своевременно не предоставил заявление на возврат задатков по форме Приложения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1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 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на электронный адрес Оператора: 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1"/>
          <w:shd w:fill="FFFFFF" w:val="clear"/>
        </w:rPr>
        <w:t xml:space="preserve">Ploshadka-torgi@yandex.ru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3.4.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 Федеральном законе от 27.07.2006  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1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 152-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ФЗ, а также на передачу такой информации третьим лицам, в случаях,  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1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152-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ФЗ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О персональных данных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права и обязанности в области защиты персональных данных ему известны.</w:t>
      </w:r>
    </w:p>
    <w:p>
      <w:pPr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3.5.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По всем вопросам, не указанным в Договоре, стороны руководствуются законодательством Российской Федерации.</w:t>
      </w:r>
    </w:p>
    <w:p>
      <w:pPr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3.6.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Республики Татарстан. Настоящий Договор составлен в электронной форме, подписан электронной подписью, и размещен в открытом доступе на сайте электронной площадки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АРБбитЛот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» (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1"/>
            <w:u w:val="single"/>
            <w:shd w:fill="FFFFFF" w:val="clear"/>
          </w:rPr>
          <w:t xml:space="preserve">https://torgi.arbbitlot.ru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).</w:t>
      </w:r>
    </w:p>
    <w:p>
      <w:pPr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3.7.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почтовой связи или электронной почты (e-mail). При этом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>
      <w:pPr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3.8.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>
      <w:pPr>
        <w:spacing w:before="0" w:after="0" w:line="240"/>
        <w:ind w:right="0" w:left="0" w:firstLine="567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3.9.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</w:p>
    <w:tbl>
      <w:tblPr>
        <w:tblInd w:w="108" w:type="dxa"/>
      </w:tblPr>
      <w:tblGrid>
        <w:gridCol w:w="5288"/>
        <w:gridCol w:w="4243"/>
      </w:tblGrid>
      <w:tr>
        <w:trPr>
          <w:trHeight w:val="6805" w:hRule="auto"/>
          <w:jc w:val="left"/>
        </w:trPr>
        <w:tc>
          <w:tcPr>
            <w:tcW w:w="52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20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Заявитель:</w:t>
            </w:r>
          </w:p>
          <w:p>
            <w:pPr>
              <w:spacing w:before="100" w:after="100" w:line="240"/>
              <w:ind w:right="0" w:left="20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___________________________________________________</w:t>
            </w:r>
          </w:p>
          <w:p>
            <w:pPr>
              <w:spacing w:before="9" w:after="0" w:line="240"/>
              <w:ind w:right="745" w:left="2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наименование юридического лица /ФИО) Юридический адрес/Адрес регистрации гражданина:</w:t>
            </w:r>
          </w:p>
          <w:p>
            <w:pPr>
              <w:spacing w:before="9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  <w:p>
            <w:pPr>
              <w:tabs>
                <w:tab w:val="left" w:pos="4799" w:leader="none"/>
                <w:tab w:val="left" w:pos="4830" w:leader="none"/>
              </w:tabs>
              <w:spacing w:before="9" w:after="0" w:line="240"/>
              <w:ind w:right="451" w:left="20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Почтовый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адрес: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</w:t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ИНН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ОГРН/ОГРНИП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</w:t>
              <w:tab/>
              <w:tab/>
            </w:r>
          </w:p>
          <w:p>
            <w:pPr>
              <w:spacing w:before="0" w:after="0" w:line="240"/>
              <w:ind w:right="745" w:left="168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для юридического лица и ИП)</w:t>
            </w:r>
          </w:p>
          <w:p>
            <w:pPr>
              <w:spacing w:before="11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  <w:p>
            <w:pPr>
              <w:tabs>
                <w:tab w:val="left" w:pos="2684" w:leader="none"/>
                <w:tab w:val="left" w:pos="3226" w:leader="none"/>
                <w:tab w:val="left" w:pos="4727" w:leader="none"/>
              </w:tabs>
              <w:spacing w:before="1" w:after="0" w:line="240"/>
              <w:ind w:right="514" w:left="20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Паспортные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данные: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серия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</w:t>
              <w:tab/>
              <w:tab/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1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Выдан: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ab/>
              <w:tab/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Дата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выдачи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</w:t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код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подр.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</w:t>
              <w:tab/>
            </w:r>
          </w:p>
          <w:p>
            <w:pPr>
              <w:spacing w:before="2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  <w:p>
            <w:pPr>
              <w:spacing w:before="100" w:after="100" w:line="240"/>
              <w:ind w:right="0" w:left="20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Реквизиты для возврата задатка:</w:t>
            </w:r>
          </w:p>
          <w:p>
            <w:pPr>
              <w:tabs>
                <w:tab w:val="left" w:pos="4708" w:leader="none"/>
                <w:tab w:val="left" w:pos="4751" w:leader="none"/>
              </w:tabs>
              <w:spacing w:before="0" w:after="0" w:line="240"/>
              <w:ind w:right="528" w:left="20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Получатель: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ИНН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получателя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</w:t>
              <w:tab/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р/с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к/с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БИК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</w:t>
              <w:tab/>
            </w:r>
          </w:p>
          <w:p>
            <w:pPr>
              <w:tabs>
                <w:tab w:val="left" w:pos="4699" w:leader="none"/>
              </w:tabs>
              <w:spacing w:before="100" w:after="100" w:line="240"/>
              <w:ind w:right="0" w:left="20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Назначение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платежа: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</w:t>
              <w:tab/>
            </w:r>
          </w:p>
          <w:p>
            <w:pPr>
              <w:spacing w:before="2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  <w:p>
            <w:pPr>
              <w:tabs>
                <w:tab w:val="left" w:pos="4583" w:leader="none"/>
              </w:tabs>
              <w:spacing w:before="100" w:after="100" w:line="240"/>
              <w:ind w:right="0" w:left="20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Тел.: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</w:t>
              <w:tab/>
            </w:r>
          </w:p>
          <w:p>
            <w:pPr>
              <w:tabs>
                <w:tab w:val="left" w:pos="4523" w:leader="none"/>
              </w:tabs>
              <w:spacing w:before="100" w:after="100" w:line="240"/>
              <w:ind w:right="0" w:left="20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Эл. почта: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</w:t>
              <w:tab/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  <w:p>
            <w:pPr>
              <w:spacing w:before="11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  <w:p>
            <w:pPr>
              <w:tabs>
                <w:tab w:val="left" w:pos="2385" w:leader="none"/>
                <w:tab w:val="left" w:pos="2589" w:leader="none"/>
                <w:tab w:val="left" w:pos="4470" w:leader="none"/>
              </w:tabs>
              <w:spacing w:before="0" w:after="0" w:line="240"/>
              <w:ind w:right="745" w:left="975" w:hanging="776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</w:t>
              <w:tab/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</w:t>
              <w:tab/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/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подпись</w:t>
              <w:tab/>
              <w:tab/>
              <w:t xml:space="preserve">расшифровка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подписи</w:t>
            </w:r>
          </w:p>
          <w:p>
            <w:pPr>
              <w:spacing w:before="100" w:after="100" w:line="240"/>
              <w:ind w:right="0" w:left="200" w:firstLine="0"/>
              <w:jc w:val="both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м.п.</w:t>
            </w:r>
          </w:p>
        </w:tc>
        <w:tc>
          <w:tcPr>
            <w:tcW w:w="4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05" w:left="49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Оператор: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Verdana" w:hAnsi="Verdana" w:cs="Verdana" w:eastAsia="Verdana"/>
                <w:color w:val="333333"/>
                <w:spacing w:val="0"/>
                <w:position w:val="0"/>
                <w:sz w:val="17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1"/>
                <w:shd w:fill="FFFFFF" w:val="clear"/>
              </w:rPr>
              <w:t xml:space="preserve">ООО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1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1"/>
                <w:shd w:fill="FFFFFF" w:val="clear"/>
              </w:rPr>
              <w:t xml:space="preserve">Электронная торговая площадка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1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1"/>
                <w:shd w:fill="FFFFFF" w:val="clear"/>
              </w:rPr>
              <w:t xml:space="preserve">ИНН  1655269981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Verdana" w:hAnsi="Verdana" w:cs="Verdana" w:eastAsia="Verdana"/>
                <w:color w:val="333333"/>
                <w:spacing w:val="0"/>
                <w:position w:val="0"/>
                <w:sz w:val="17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1"/>
                <w:shd w:fill="FFFFFF" w:val="clear"/>
              </w:rPr>
              <w:t xml:space="preserve">ОГРН 1131690035124,  КПП 165501001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FFFFFF" w:val="clear"/>
              </w:rPr>
              <w:t xml:space="preserve">счет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1"/>
                <w:shd w:fill="FFFFFF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FFFFFF" w:val="clear"/>
              </w:rPr>
              <w:t xml:space="preserve"> 40702810429070013813, 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FFFFFF" w:val="clear"/>
              </w:rPr>
              <w:t xml:space="preserve">открытый в ФИЛИАЛ "НИЖЕГОРОДСКИЙ" АО "АЛЬФА-БАНК", 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FFFFFF" w:val="clear"/>
              </w:rPr>
              <w:t xml:space="preserve">БИК 042202824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Verdana" w:hAnsi="Verdana" w:cs="Verdana" w:eastAsia="Verdana"/>
                <w:color w:val="333333"/>
                <w:spacing w:val="0"/>
                <w:position w:val="0"/>
                <w:sz w:val="17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1"/>
                <w:shd w:fill="FFFFFF" w:val="clear"/>
              </w:rPr>
              <w:t xml:space="preserve">к/с 30101810200000000824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Verdana" w:hAnsi="Verdana" w:cs="Verdana" w:eastAsia="Verdana"/>
                <w:color w:val="333333"/>
                <w:spacing w:val="0"/>
                <w:position w:val="0"/>
                <w:sz w:val="17"/>
                <w:shd w:fill="FFFFFF" w:val="clear"/>
              </w:rPr>
            </w:pPr>
            <w:r>
              <w:rPr>
                <w:rFonts w:ascii="Verdana" w:hAnsi="Verdana" w:cs="Verdana" w:eastAsia="Verdana"/>
                <w:color w:val="333333"/>
                <w:spacing w:val="0"/>
                <w:position w:val="0"/>
                <w:sz w:val="17"/>
                <w:shd w:fill="FFFFFF" w:val="clear"/>
              </w:rPr>
              <w:t xml:space="preserve"> 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Verdana" w:hAnsi="Verdana" w:cs="Verdana" w:eastAsia="Verdana"/>
                <w:color w:val="333333"/>
                <w:spacing w:val="0"/>
                <w:position w:val="0"/>
                <w:sz w:val="17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1"/>
                <w:shd w:fill="FFFFFF" w:val="clear"/>
              </w:rPr>
              <w:t xml:space="preserve">Директор____________М.В.Думпе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spacing w:before="100" w:after="100" w:line="240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 </w:t>
      </w:r>
    </w:p>
    <w:p>
      <w:pPr>
        <w:keepNext w:val="true"/>
        <w:suppressAutoHyphens w:val="true"/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8">
    <w:abstractNumId w:val="12"/>
  </w:num>
  <w:num w:numId="10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orgi.arbbitlot.ru/" Id="docRId1" Type="http://schemas.openxmlformats.org/officeDocument/2006/relationships/hyperlink" /><Relationship TargetMode="External" Target="https://torgi.arbbitlot.ru/" Id="docRId3" Type="http://schemas.openxmlformats.org/officeDocument/2006/relationships/hyperlink" /><Relationship Target="styles.xml" Id="docRId5" Type="http://schemas.openxmlformats.org/officeDocument/2006/relationships/styles" /><Relationship TargetMode="External" Target="https://torgi.arbbitlot.ru/" Id="docRId0" Type="http://schemas.openxmlformats.org/officeDocument/2006/relationships/hyperlink" /><Relationship TargetMode="External" Target="https://torgi.arbbitlot.ru/" Id="docRId2" Type="http://schemas.openxmlformats.org/officeDocument/2006/relationships/hyperlink" /><Relationship Target="numbering.xml" Id="docRId4" Type="http://schemas.openxmlformats.org/officeDocument/2006/relationships/numbering" /></Relationships>
</file>