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E7F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28AD332A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73562EA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B37321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rStyle w:val="4"/>
          <w:rFonts w:hint="default" w:cs="Times New Roman"/>
          <w:i w:val="0"/>
          <w:sz w:val="22"/>
          <w:lang w:val="ru-RU"/>
        </w:rPr>
        <w:t>А78-4698/2025</w:t>
      </w:r>
    </w:p>
    <w:p w14:paraId="78D80E9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8BBA8A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7322CB5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  <w:r>
        <w:rPr>
          <w:rFonts w:hint="default" w:cs="Times New Roman"/>
          <w:b/>
          <w:sz w:val="22"/>
          <w:lang w:val="ru-RU"/>
        </w:rPr>
        <w:t>Номоконовой Елены Эдуардовны</w:t>
      </w:r>
    </w:p>
    <w:p w14:paraId="3E6858D4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</w:p>
    <w:p w14:paraId="12A2DB1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94D837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hint="default" w:cs="Times New Roman"/>
          <w:sz w:val="22"/>
          <w:lang w:val="ru-RU"/>
        </w:rPr>
        <w:t xml:space="preserve"> Номоконова Елена Эдуардовна (дата рождения: 15.04.1990, место рождения: П. ПЕРВОМАЙСКИЙ ШИЛКИНСКИЙ Р-Н ЧИТИНСКАЯ ОБЛАСТЬ, СНИЛС 135-316-936 53, ИНН 752704908570, регистрация по месту жительства: Забайкальский край, Шилкинский р-н, пгт. Первомайский, ул. Строительная, д. 7, кв. 99)</w:t>
      </w:r>
      <w:r>
        <w:rPr>
          <w:rFonts w:cs="Times New Roman"/>
          <w:sz w:val="22"/>
        </w:rPr>
        <w:t xml:space="preserve"> п</w:t>
      </w:r>
      <w:bookmarkStart w:id="0" w:name="_GoBack"/>
      <w:bookmarkEnd w:id="0"/>
      <w:r>
        <w:rPr>
          <w:rFonts w:cs="Times New Roman"/>
          <w:sz w:val="22"/>
        </w:rPr>
        <w:t>ризнан 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hint="default" w:cs="Times New Roman"/>
          <w:sz w:val="22"/>
          <w:lang w:val="ru-RU"/>
        </w:rPr>
        <w:t>Решением Арбитражного суда Забайкальского края от 23.06.2025 г. по делу № А78-4698/2025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70ABBFD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14:paraId="0010903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</w:t>
      </w:r>
      <w:r>
        <w:rPr>
          <w:rFonts w:hint="default" w:cs="Times New Roman"/>
          <w:sz w:val="22"/>
          <w:lang w:val="ru-RU"/>
        </w:rPr>
        <w:t>»</w:t>
      </w:r>
      <w:r>
        <w:rPr>
          <w:rFonts w:cs="Times New Roman"/>
          <w:sz w:val="22"/>
        </w:rPr>
        <w:t xml:space="preserve">. </w:t>
      </w:r>
    </w:p>
    <w:p w14:paraId="5D144DF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12BD6F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141D1B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77332472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 w:cs="Times New Roman"/>
          <w:sz w:val="22"/>
          <w:lang w:val="ru-RU"/>
        </w:rPr>
        <w:t xml:space="preserve">Автомобиль легковой Тойота Корона Премио, 1981 г.в., грз. М628УК75, </w:t>
      </w:r>
      <w:r>
        <w:rPr>
          <w:rFonts w:hint="default" w:cs="Times New Roman"/>
          <w:sz w:val="22"/>
          <w:lang w:val="en-US"/>
        </w:rPr>
        <w:t>VIN</w:t>
      </w:r>
      <w:r>
        <w:rPr>
          <w:rFonts w:hint="default" w:cs="Times New Roman"/>
          <w:sz w:val="22"/>
          <w:lang w:val="ru-RU"/>
        </w:rPr>
        <w:t xml:space="preserve">: отсутствует, Кузов № </w:t>
      </w:r>
      <w:r>
        <w:rPr>
          <w:rFonts w:hint="default" w:cs="Times New Roman"/>
          <w:sz w:val="22"/>
          <w:lang w:val="en-US"/>
        </w:rPr>
        <w:t>ST</w:t>
      </w:r>
      <w:r>
        <w:rPr>
          <w:rFonts w:hint="default" w:cs="Times New Roman"/>
          <w:sz w:val="22"/>
          <w:lang w:val="ru-RU"/>
        </w:rPr>
        <w:t>2100007633, цвет: синий, принадлежащий Тюменцеву Александру Евгеньевичу, являющееся совместно нажитым имуществом.</w:t>
      </w:r>
    </w:p>
    <w:p w14:paraId="5EF5D615">
      <w:pPr>
        <w:pStyle w:val="8"/>
        <w:tabs>
          <w:tab w:val="left" w:pos="6480"/>
        </w:tabs>
        <w:ind w:left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3B8CE1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01BEA79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14:paraId="62ADAA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0F563D6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6B78D2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B90EB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35E453C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 xml:space="preserve">320 000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ru-RU"/>
        </w:rPr>
        <w:t>триста</w:t>
      </w:r>
      <w:r>
        <w:rPr>
          <w:rFonts w:hint="default" w:cs="Times New Roman"/>
          <w:sz w:val="22"/>
          <w:lang w:val="ru-RU"/>
        </w:rPr>
        <w:t xml:space="preserve"> двадцать тысяч</w:t>
      </w:r>
      <w:r>
        <w:rPr>
          <w:rFonts w:cs="Times New Roman"/>
          <w:sz w:val="22"/>
        </w:rPr>
        <w:t>) рублей</w:t>
      </w:r>
      <w:r>
        <w:rPr>
          <w:rFonts w:hint="default" w:cs="Times New Roman"/>
          <w:sz w:val="22"/>
          <w:lang w:val="ru-RU"/>
        </w:rPr>
        <w:t xml:space="preserve"> 00 копеек.</w:t>
      </w:r>
    </w:p>
    <w:p w14:paraId="4ED1693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BFCFFB9">
      <w:pPr>
        <w:pStyle w:val="8"/>
        <w:ind w:left="0"/>
        <w:rPr>
          <w:rFonts w:cs="Times New Roman"/>
          <w:sz w:val="22"/>
        </w:rPr>
      </w:pPr>
    </w:p>
    <w:p w14:paraId="6F55C12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1E857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14:paraId="20DAF970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</w:t>
      </w:r>
    </w:p>
    <w:p w14:paraId="701CCC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14:paraId="4E85AB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14:paraId="635F06E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14:paraId="4A3252C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20F4860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441B6A2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001A14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14:paraId="3EDB542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 </w:t>
      </w:r>
    </w:p>
    <w:p w14:paraId="4ED9CB70">
      <w:pPr>
        <w:pStyle w:val="8"/>
        <w:ind w:left="0"/>
        <w:rPr>
          <w:rFonts w:cs="Times New Roman"/>
          <w:sz w:val="22"/>
        </w:rPr>
      </w:pPr>
    </w:p>
    <w:p w14:paraId="04F47EC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14:paraId="692A82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14:paraId="25F85A0D">
      <w:pPr>
        <w:pStyle w:val="10"/>
        <w:spacing w:before="0" w:after="0"/>
        <w:ind w:firstLine="709"/>
        <w:rPr>
          <w:rFonts w:hint="default"/>
          <w:sz w:val="22"/>
          <w:szCs w:val="22"/>
          <w:lang w:val="ru-RU" w:eastAsia="zh-CN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 w:cs="Times New Roman"/>
          <w:sz w:val="22"/>
          <w:lang w:val="ru-RU"/>
        </w:rPr>
        <w:t xml:space="preserve">Автомобиль легковой Тойота Корона Премио, 1981 г.в., грз. М628УК75, </w:t>
      </w:r>
      <w:r>
        <w:rPr>
          <w:rFonts w:hint="default" w:cs="Times New Roman"/>
          <w:sz w:val="22"/>
          <w:lang w:val="en-US"/>
        </w:rPr>
        <w:t>VIN</w:t>
      </w:r>
      <w:r>
        <w:rPr>
          <w:rFonts w:hint="default" w:cs="Times New Roman"/>
          <w:sz w:val="22"/>
          <w:lang w:val="ru-RU"/>
        </w:rPr>
        <w:t xml:space="preserve">: отсутствует, Кузов № </w:t>
      </w:r>
      <w:r>
        <w:rPr>
          <w:rFonts w:hint="default" w:cs="Times New Roman"/>
          <w:sz w:val="22"/>
          <w:lang w:val="en-US"/>
        </w:rPr>
        <w:t>ST</w:t>
      </w:r>
      <w:r>
        <w:rPr>
          <w:rFonts w:hint="default" w:cs="Times New Roman"/>
          <w:sz w:val="22"/>
          <w:lang w:val="ru-RU"/>
        </w:rPr>
        <w:t>2100007633, цвет: синий, принадлежащий Тюменцеву Александру Евгеньевичу, являющееся совместно нажитым имуществом.</w:t>
      </w:r>
    </w:p>
    <w:p w14:paraId="4F4B2801">
      <w:pPr>
        <w:pStyle w:val="10"/>
        <w:spacing w:before="0" w:after="0"/>
        <w:ind w:firstLine="709"/>
        <w:rPr>
          <w:rFonts w:hint="default"/>
          <w:sz w:val="22"/>
          <w:szCs w:val="22"/>
          <w:lang w:val="ru-RU" w:eastAsia="zh-CN"/>
        </w:rPr>
      </w:pPr>
    </w:p>
    <w:p w14:paraId="32584236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cs="Times New Roman"/>
          <w:sz w:val="22"/>
        </w:rPr>
        <w:t xml:space="preserve"> </w:t>
      </w:r>
      <w:r>
        <w:rPr>
          <w:rFonts w:hint="default" w:cs="Times New Roman"/>
          <w:sz w:val="22"/>
          <w:lang w:val="ru-RU"/>
        </w:rPr>
        <w:t xml:space="preserve">320 000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ru-RU"/>
        </w:rPr>
        <w:t>триста</w:t>
      </w:r>
      <w:r>
        <w:rPr>
          <w:rFonts w:hint="default" w:cs="Times New Roman"/>
          <w:sz w:val="22"/>
          <w:lang w:val="ru-RU"/>
        </w:rPr>
        <w:t xml:space="preserve"> двадцать тысяч</w:t>
      </w:r>
      <w:r>
        <w:rPr>
          <w:rFonts w:cs="Times New Roman"/>
          <w:sz w:val="22"/>
        </w:rPr>
        <w:t>) рублей</w:t>
      </w:r>
      <w:r>
        <w:rPr>
          <w:rFonts w:hint="default" w:cs="Times New Roman"/>
          <w:sz w:val="22"/>
          <w:lang w:val="ru-RU"/>
        </w:rPr>
        <w:t xml:space="preserve"> 00 копеек.</w:t>
      </w:r>
    </w:p>
    <w:p w14:paraId="4F4F8F06">
      <w:pPr>
        <w:pStyle w:val="8"/>
        <w:ind w:left="0" w:leftChars="0" w:firstLine="0" w:firstLineChars="0"/>
        <w:rPr>
          <w:rFonts w:hint="default"/>
          <w:sz w:val="22"/>
          <w:szCs w:val="22"/>
          <w:lang w:val="ru-RU"/>
        </w:rPr>
      </w:pPr>
    </w:p>
    <w:p w14:paraId="73A14759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14:paraId="2CE417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14:paraId="75D50B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14:paraId="13840E7F">
      <w:pPr>
        <w:pStyle w:val="8"/>
        <w:ind w:left="0"/>
        <w:rPr>
          <w:rFonts w:cs="Times New Roman"/>
          <w:sz w:val="22"/>
        </w:rPr>
      </w:pPr>
    </w:p>
    <w:p w14:paraId="1DC5886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14:paraId="1855C8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14:paraId="6EEB9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14:paraId="63D272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14:paraId="6026AAB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14:paraId="07659A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14:paraId="03452DB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14:paraId="5A424CDD">
      <w:pPr>
        <w:pStyle w:val="8"/>
        <w:ind w:left="0"/>
        <w:rPr>
          <w:rFonts w:cs="Times New Roman"/>
          <w:sz w:val="22"/>
        </w:rPr>
      </w:pPr>
    </w:p>
    <w:p w14:paraId="256FFC1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14:paraId="5329433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729DE6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14:paraId="1D272E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14:paraId="39C54B6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52B407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sz w:val="22"/>
        </w:rPr>
        <w:t>https://torgi.lot-bankrot.com/</w:t>
      </w:r>
      <w:r>
        <w:rPr>
          <w:rStyle w:val="5"/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55FD6F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14:paraId="40BFF12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0044A2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05EF78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1785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6EB0156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2E873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5CFE95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14:paraId="6CE5DDE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C73A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F7D57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372D30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4419E78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6CE0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D7C47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978B20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296BF0E">
      <w:pPr>
        <w:ind w:firstLine="0"/>
        <w:rPr>
          <w:rFonts w:cs="Times New Roman"/>
          <w:sz w:val="22"/>
        </w:rPr>
      </w:pPr>
    </w:p>
    <w:p w14:paraId="23FD4FD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14:paraId="66138C5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14:paraId="1E82505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14:paraId="2616920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14:paraId="002024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14:paraId="79F56099">
      <w:pPr>
        <w:pStyle w:val="8"/>
        <w:ind w:left="0"/>
        <w:rPr>
          <w:rFonts w:cs="Times New Roman"/>
          <w:sz w:val="22"/>
        </w:rPr>
      </w:pPr>
    </w:p>
    <w:p w14:paraId="19F86BC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14:paraId="4A958DC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860F9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4DEFF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68AD79EC">
      <w:pPr>
        <w:pStyle w:val="8"/>
        <w:ind w:left="0"/>
        <w:rPr>
          <w:rFonts w:cs="Times New Roman"/>
          <w:sz w:val="22"/>
        </w:rPr>
      </w:pPr>
    </w:p>
    <w:p w14:paraId="75F949A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14:paraId="6AC85CC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14:paraId="741532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14:paraId="0C65546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208AC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71E7E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F28407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0F386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A2334D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3381DDB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D1EC1F7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1974A184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AD901F9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6D15EC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14:paraId="2E419A0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14:paraId="3A6D6994">
      <w:pPr>
        <w:pStyle w:val="8"/>
        <w:ind w:left="0"/>
        <w:rPr>
          <w:rFonts w:cs="Times New Roman"/>
          <w:sz w:val="22"/>
        </w:rPr>
      </w:pPr>
    </w:p>
    <w:p w14:paraId="146786BF">
      <w:pPr>
        <w:pStyle w:val="8"/>
        <w:ind w:left="0"/>
        <w:rPr>
          <w:rStyle w:val="4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3395ED0"/>
    <w:rsid w:val="079A3E7E"/>
    <w:rsid w:val="08093668"/>
    <w:rsid w:val="1E863553"/>
    <w:rsid w:val="1FDA6EAB"/>
    <w:rsid w:val="215E76F2"/>
    <w:rsid w:val="26260640"/>
    <w:rsid w:val="27616E61"/>
    <w:rsid w:val="295352FF"/>
    <w:rsid w:val="45CF4E6C"/>
    <w:rsid w:val="4E1144FA"/>
    <w:rsid w:val="5B22459A"/>
    <w:rsid w:val="60EF69A4"/>
    <w:rsid w:val="63424ECB"/>
    <w:rsid w:val="6FD92AB2"/>
    <w:rsid w:val="73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3647</Words>
  <Characters>20791</Characters>
  <Lines>173</Lines>
  <Paragraphs>48</Paragraphs>
  <TotalTime>0</TotalTime>
  <ScaleCrop>false</ScaleCrop>
  <LinksUpToDate>false</LinksUpToDate>
  <CharactersWithSpaces>24390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2025-10-23T06:31:00Z</cp:lastPrinted>
  <dcterms:modified xsi:type="dcterms:W3CDTF">2025-12-26T02:22:27Z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38F75313F37E4F9784C218D04D4828A9_13</vt:lpwstr>
  </property>
</Properties>
</file>