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935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64CF5DE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cs="Times New Roman"/>
          <w:b/>
          <w:sz w:val="22"/>
          <w:lang w:val="ru-RU"/>
        </w:rPr>
        <w:t>Сагалбаевой</w:t>
      </w:r>
      <w:r>
        <w:rPr>
          <w:rFonts w:hint="default" w:cs="Times New Roman"/>
          <w:b/>
          <w:sz w:val="22"/>
          <w:lang w:val="ru-RU"/>
        </w:rPr>
        <w:t xml:space="preserve"> Маниры Кутусовны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Сагалбаева Манира Кутусовна </w:t>
      </w:r>
      <w:r>
        <w:rPr>
          <w:rFonts w:cs="Times New Roman"/>
          <w:sz w:val="22"/>
        </w:rPr>
        <w:t>(</w:t>
      </w:r>
      <w:r>
        <w:rPr>
          <w:sz w:val="22"/>
          <w:szCs w:val="21"/>
        </w:rPr>
        <w:t>01.09.1957 года рождения, место рождения: Аул Тебисс Чановского р-на Новосибирской области, адрес регистрации: Новосибирская обл., Чановский р-он, п. Малый Тебис, ул. Зеленая, д. 14, кв. 1, СНИЛС 022-510-630 89, ИНН 541550701836</w:t>
      </w:r>
      <w:r>
        <w:rPr>
          <w:rFonts w:hint="default"/>
          <w:sz w:val="22"/>
          <w:szCs w:val="21"/>
          <w:lang w:val="ru-RU"/>
        </w:rPr>
        <w:t>)</w:t>
      </w:r>
      <w:r>
        <w:rPr>
          <w:rFonts w:cs="Times New Roman"/>
          <w:sz w:val="22"/>
        </w:rPr>
        <w:t xml:space="preserve"> признан</w:t>
      </w:r>
      <w:r>
        <w:rPr>
          <w:rFonts w:cs="Times New Roman"/>
          <w:sz w:val="22"/>
          <w:lang w:val="ru-RU"/>
        </w:rPr>
        <w:t>а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rFonts w:cs="Times New Roman"/>
          <w:sz w:val="22"/>
          <w:lang w:val="ru-RU"/>
        </w:rPr>
        <w:t>Новосибирской</w:t>
      </w:r>
      <w:r>
        <w:rPr>
          <w:rFonts w:hint="default" w:cs="Times New Roman"/>
          <w:sz w:val="22"/>
          <w:lang w:val="ru-RU"/>
        </w:rPr>
        <w:t xml:space="preserve"> области</w:t>
      </w:r>
      <w:r>
        <w:rPr>
          <w:rFonts w:cs="Times New Roman"/>
          <w:sz w:val="22"/>
        </w:rPr>
        <w:t xml:space="preserve"> от </w:t>
      </w:r>
      <w:r>
        <w:rPr>
          <w:rFonts w:hint="default" w:cs="Times New Roman"/>
          <w:sz w:val="22"/>
          <w:lang w:val="ru-RU"/>
        </w:rPr>
        <w:t>18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02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5</w:t>
      </w:r>
      <w:r>
        <w:rPr>
          <w:rFonts w:cs="Times New Roman"/>
          <w:sz w:val="22"/>
        </w:rPr>
        <w:t xml:space="preserve"> по делу № </w:t>
      </w:r>
      <w:r>
        <w:rPr>
          <w:rFonts w:eastAsiaTheme="minorEastAsia" w:cstheme="minorBidi"/>
          <w:sz w:val="22"/>
        </w:rPr>
        <w:t>А</w:t>
      </w:r>
      <w:r>
        <w:rPr>
          <w:rFonts w:hint="default" w:eastAsiaTheme="minorEastAsia" w:cstheme="minorBidi"/>
          <w:sz w:val="22"/>
          <w:lang w:val="ru-RU"/>
        </w:rPr>
        <w:t>45</w:t>
      </w:r>
      <w:r>
        <w:rPr>
          <w:rFonts w:eastAsiaTheme="minorEastAsia" w:cstheme="minorBidi"/>
          <w:sz w:val="22"/>
        </w:rPr>
        <w:t>-</w:t>
      </w:r>
      <w:r>
        <w:rPr>
          <w:rFonts w:hint="default" w:eastAsiaTheme="minorEastAsia" w:cstheme="minorBidi"/>
          <w:sz w:val="22"/>
          <w:lang w:val="ru-RU"/>
        </w:rPr>
        <w:t>935</w:t>
      </w:r>
      <w:r>
        <w:rPr>
          <w:rFonts w:eastAsiaTheme="minorEastAsia" w:cstheme="minorBidi"/>
          <w:sz w:val="22"/>
        </w:rPr>
        <w:t>/202</w:t>
      </w:r>
      <w:r>
        <w:rPr>
          <w:rFonts w:hint="default" w:eastAsiaTheme="minorEastAsia" w:cstheme="minorBidi"/>
          <w:sz w:val="22"/>
          <w:lang w:val="ru-RU"/>
        </w:rPr>
        <w:t>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596A99F5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 xml:space="preserve">1/130 доля в праве общей долевой собственности на земельный участок, находящийся по адресу: Новосибирская область, Чановский р-н, Красносельский сельсовет. Площадь: 20 246 884 +/- 82 243. Вид разрешенного использования: для сельскохозяйственного производства. Кадастровый номер: 54:27:021401:1898. 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6D941AF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1 657 129 (один миллион шестьсот пятьдесят семь тысяч сто двадцать девять) рублей 58 копеек.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5E577B9C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 xml:space="preserve">1/130 доля в праве общей долевой собственности на земельный участок, находящийся по адресу: Новосибирская область, Чановский р-н, Красносельский сельсовет. Площадь: 20 246 884 +/- 82 243. Вид разрешенного использования: для сельскохозяйственного производства. Кадастровый номер: 54:27:021401:1898. </w:t>
      </w:r>
    </w:p>
    <w:p w14:paraId="6BFC6351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</w:p>
    <w:p w14:paraId="5340F8F5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hint="default"/>
          <w:sz w:val="22"/>
          <w:szCs w:val="22"/>
          <w:lang w:val="ru-RU"/>
        </w:rPr>
        <w:t>1 657 129 (один миллион шестьсот пятьдесят семь тысяч сто двадцать девять) рублей 58 копеек.</w:t>
      </w:r>
    </w:p>
    <w:p w14:paraId="33A748CA">
      <w:pPr>
        <w:pStyle w:val="8"/>
        <w:ind w:left="0"/>
        <w:rPr>
          <w:rFonts w:hint="default" w:cs="Times New Roman"/>
          <w:sz w:val="22"/>
          <w:lang w:val="ru-RU"/>
        </w:rPr>
      </w:pPr>
    </w:p>
    <w:p w14:paraId="7F49CEDC">
      <w:pPr>
        <w:pStyle w:val="8"/>
        <w:ind w:left="0"/>
        <w:rPr>
          <w:rFonts w:hint="default" w:cs="Times New Roman"/>
          <w:sz w:val="22"/>
          <w:lang w:val="ru-RU"/>
        </w:rPr>
      </w:pPr>
    </w:p>
    <w:p w14:paraId="652CB845">
      <w:pPr>
        <w:pStyle w:val="8"/>
        <w:ind w:left="0"/>
        <w:rPr>
          <w:rFonts w:hint="default" w:cs="Times New Roman"/>
          <w:sz w:val="22"/>
          <w:lang w:val="ru-RU"/>
        </w:rPr>
      </w:pPr>
    </w:p>
    <w:p w14:paraId="32584236">
      <w:pPr>
        <w:pStyle w:val="8"/>
        <w:rPr>
          <w:rFonts w:cs="Times New Roman"/>
          <w:sz w:val="22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 xml:space="preserve">45 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45</w:t>
      </w:r>
      <w:bookmarkStart w:id="0" w:name="_GoBack"/>
      <w:bookmarkEnd w:id="0"/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8093668"/>
    <w:rsid w:val="1FDA6EAB"/>
    <w:rsid w:val="295352FF"/>
    <w:rsid w:val="45CF4E6C"/>
    <w:rsid w:val="63424ECB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1</TotalTime>
  <ScaleCrop>false</ScaleCrop>
  <LinksUpToDate>false</LinksUpToDate>
  <CharactersWithSpaces>24390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2025-09-15T07:43:57Z</cp:lastPrinted>
  <dcterms:modified xsi:type="dcterms:W3CDTF">2025-09-15T07:57:46Z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38F75313F37E4F9784C218D04D4828A9_13</vt:lpwstr>
  </property>
</Properties>
</file>