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444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7235ACCB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Селянского</w:t>
      </w:r>
      <w:r>
        <w:rPr>
          <w:rFonts w:hint="default"/>
          <w:b/>
          <w:sz w:val="22"/>
          <w:lang w:val="ru-RU"/>
        </w:rPr>
        <w:t xml:space="preserve"> Евгения Евгеньевича </w:t>
      </w:r>
    </w:p>
    <w:p w14:paraId="2E4B86A8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Селянский</w:t>
      </w:r>
      <w:r>
        <w:rPr>
          <w:rFonts w:hint="default" w:cs="Times New Roman"/>
          <w:sz w:val="22"/>
          <w:lang w:val="ru-RU"/>
        </w:rPr>
        <w:t xml:space="preserve"> Евгений Евгеньевич</w:t>
      </w:r>
      <w:r>
        <w:rPr>
          <w:sz w:val="22"/>
        </w:rPr>
        <w:t xml:space="preserve"> (</w:t>
      </w:r>
      <w:r>
        <w:rPr>
          <w:sz w:val="22"/>
          <w:szCs w:val="21"/>
        </w:rPr>
        <w:t>22.12.1972 г.р., место рождения гор. Ачинск Красноярский край, СНИЛС 124-264-334 29, ИНН 244304367760, адрес регистрации 662159, г. Ачинск, Красноярский край, мкр. Юго-Восточный 48-8</w:t>
      </w:r>
      <w:r>
        <w:rPr>
          <w:sz w:val="22"/>
          <w:szCs w:val="21"/>
        </w:rPr>
        <w:t>)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Красноярского</w:t>
      </w:r>
      <w:r>
        <w:rPr>
          <w:rFonts w:hint="default"/>
          <w:sz w:val="22"/>
          <w:lang w:val="ru-RU"/>
        </w:rPr>
        <w:t xml:space="preserve"> края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07.03.2025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444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F098DFF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ФОРД ФОКУС, 2006 г.в., </w:t>
      </w:r>
      <w:r>
        <w:rPr>
          <w:rFonts w:hint="default"/>
          <w:sz w:val="22"/>
          <w:szCs w:val="22"/>
          <w:lang w:val="en-US"/>
        </w:rPr>
        <w:t>VIN X9F3XXEED36506544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X9F3XXEED36506544</w:t>
      </w:r>
      <w:r>
        <w:rPr>
          <w:rFonts w:hint="default"/>
          <w:sz w:val="22"/>
          <w:szCs w:val="22"/>
          <w:lang w:val="ru-RU"/>
        </w:rPr>
        <w:t xml:space="preserve">, ГРЗ Т701КХ124, цвет синий, принадлежащий Селянской Ирине Валерьевне, являющийся совместно нажитым имущестом супругов. </w:t>
      </w:r>
    </w:p>
    <w:p w14:paraId="71775EA6">
      <w:pPr>
        <w:pStyle w:val="9"/>
        <w:spacing w:before="0" w:after="0"/>
        <w:ind w:firstLine="709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 xml:space="preserve">375 000 (триста семьдесят пять тысяч)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A1EED43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ФОРД ФОКУС, 2006 г.в., </w:t>
      </w:r>
      <w:r>
        <w:rPr>
          <w:rFonts w:hint="default"/>
          <w:sz w:val="22"/>
          <w:szCs w:val="22"/>
          <w:lang w:val="en-US"/>
        </w:rPr>
        <w:t>VIN X9F3XXEED36506544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X9F3XXEED36506544</w:t>
      </w:r>
      <w:r>
        <w:rPr>
          <w:rFonts w:hint="default"/>
          <w:sz w:val="22"/>
          <w:szCs w:val="22"/>
          <w:lang w:val="ru-RU"/>
        </w:rPr>
        <w:t xml:space="preserve">, ГРЗ Т701КХ124, цвет синий, принадлежащий Селянской Ирине Валерьевне, являющийся совместно нажитым имущестом супругов. . </w:t>
      </w:r>
    </w:p>
    <w:p w14:paraId="1343139B">
      <w:pPr>
        <w:pStyle w:val="9"/>
        <w:spacing w:before="0" w:after="0"/>
        <w:ind w:firstLine="709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13A0C9F"/>
    <w:rsid w:val="137164B4"/>
    <w:rsid w:val="17346264"/>
    <w:rsid w:val="26A94427"/>
    <w:rsid w:val="28474ED8"/>
    <w:rsid w:val="34A527C8"/>
    <w:rsid w:val="3E0508DE"/>
    <w:rsid w:val="435B05BC"/>
    <w:rsid w:val="4F963AE5"/>
    <w:rsid w:val="6FB41B2B"/>
    <w:rsid w:val="714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2025-07-22T08:51:30Z</cp:lastPrinted>
  <dcterms:modified xsi:type="dcterms:W3CDTF">2025-07-22T09:02:06Z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043E3B6FC84840E7A0BC89C7FB982CC0_13</vt:lpwstr>
  </property>
</Properties>
</file>