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vAlign w:val="top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Карачаево-Черкесская Республика, Прикубанский р-н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B880083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Организатор торгов – финансовый управляющий Гемсакурова Рамазана Келишбиевича (27.01.1998 г.р., место рождения: г.Черкесск КЧР; СНИЛС 128-053-035 28; ИНН 091703405793; место регистрации: КЧР, г.Черкесск, ул.Шоссейная, д.140</w:t>
      </w: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>),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Арбитражного суда Карачаево-Черкесской Республики от 13.05.2025 г. по делу № А25-3429/2024 </w:t>
      </w: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hint="default"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2624C80">
      <w:pPr>
        <w:pStyle w:val="13"/>
        <w:spacing w:before="0" w:after="0"/>
        <w:ind w:firstLine="709"/>
        <w:rPr>
          <w:rFonts w:hint="default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</w:t>
      </w:r>
      <w:r>
        <w:rPr>
          <w:rFonts w:hint="default"/>
          <w:lang w:val="ru-RU"/>
        </w:rPr>
        <w:t>1</w:t>
      </w:r>
      <w:r>
        <w:t>0% начальной цены продажи имущества в счет обеспечения оплаты следующего приобретаемого на проводимом Организатором торгах имущества: жилой дом площадью 52,3 м² кад. № 09:02:0280101:1016 и Земельный участок площадью 3 700 м² кад. № 09:02:0280101:259 расположенные по адресу: Карачаево</w:t>
      </w:r>
      <w:r>
        <w:rPr>
          <w:rFonts w:hint="default"/>
          <w:lang w:val="ru-RU"/>
        </w:rPr>
        <w:t>-</w:t>
      </w:r>
      <w:r>
        <w:t>Черкесская Республика, Прикубанский, с. Счастливое, ул. Степная д.</w:t>
      </w:r>
      <w:r>
        <w:rPr>
          <w:rFonts w:hint="default"/>
          <w:lang w:val="ru-RU"/>
        </w:rPr>
        <w:t xml:space="preserve"> </w:t>
      </w:r>
      <w:r>
        <w:t>27</w:t>
      </w:r>
      <w:r>
        <w:rPr>
          <w:rFonts w:hint="default"/>
          <w:lang w:val="ru-RU"/>
        </w:rPr>
        <w:t>, находящийся в залоге у ПАО "Сбербанк" на основании кредитного договора №1141891 от 07.10.2022 г.</w:t>
      </w:r>
    </w:p>
    <w:p w14:paraId="06F6568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</w:t>
      </w: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23.04.2026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Гемсакуров Рамазан Келишбиевич, номер счёта: 40817810050220804103, ФИЛИАЛ "ЦЕНТРАЛЬНЫЙ" ПАО "СОВКОМБАНК", БИК: 045004763, Корреспондентский счёт: 30101810150040000763, ИНН: 4401116480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2026-03-16T10:07:39Z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