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9636" w:type="dxa"/>
        <w:tblInd w:w="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953"/>
        <w:gridCol w:w="951"/>
        <w:gridCol w:w="950"/>
        <w:gridCol w:w="951"/>
        <w:gridCol w:w="340"/>
        <w:gridCol w:w="953"/>
        <w:gridCol w:w="950"/>
        <w:gridCol w:w="951"/>
        <w:gridCol w:w="951"/>
        <w:gridCol w:w="1308"/>
      </w:tblGrid>
      <w:tr w:rsidR="008060D0" w:rsidTr="00686254">
        <w:trPr>
          <w:trHeight w:hRule="exact" w:val="30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купли-продажи</w:t>
            </w:r>
          </w:p>
          <w:p w:rsidR="001049F2" w:rsidRDefault="001049F2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  <w:p w:rsidR="001049F2" w:rsidRDefault="001049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</w:tcPr>
          <w:p w:rsidR="008060D0" w:rsidRDefault="008060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Череповец                                                                                                             «____»___________________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60D0" w:rsidTr="00686254">
        <w:trPr>
          <w:trHeight w:hRule="exact" w:val="1598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>Шанберов</w:t>
            </w:r>
            <w:proofErr w:type="spellEnd"/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Александр Анатольевич (22.01.1956 г.р.; место рождения: д. </w:t>
            </w:r>
            <w:proofErr w:type="spellStart"/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>Ребячьево</w:t>
            </w:r>
            <w:proofErr w:type="spellEnd"/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Шекснинского р-на Вологодской обл.; ИНН 352302200708; СНИЛС №065-976-681-29; </w:t>
            </w:r>
            <w:proofErr w:type="gramStart"/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>адрес регистрации: 162581, Вологодская обл., Ш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екснинский р-н, д. </w:t>
            </w:r>
            <w:proofErr w:type="spellStart"/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Ребячьево</w:t>
            </w:r>
            <w:proofErr w:type="spellEnd"/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, в лице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Финансового управляющего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Кульковой Людмилы Владимировны </w:t>
            </w:r>
            <w:r w:rsidR="0053083A" w:rsidRPr="0053083A">
              <w:rPr>
                <w:rFonts w:ascii="Times New Roman" w:hAnsi="Times New Roman"/>
                <w:kern w:val="0"/>
                <w:sz w:val="20"/>
                <w:szCs w:val="20"/>
              </w:rPr>
              <w:t>(ИНН 352819721591, СНИЛС 071-944-201 59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действующе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на основании решения Арбитражного суда </w:t>
            </w:r>
            <w:r w:rsidR="0053083A" w:rsidRPr="0053083A">
              <w:rPr>
                <w:rFonts w:ascii="Times New Roman" w:hAnsi="Times New Roman"/>
                <w:kern w:val="0"/>
                <w:sz w:val="20"/>
                <w:szCs w:val="20"/>
              </w:rPr>
              <w:t>Вологодской области от 14.01.2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021 г. по делу № А13-13890/2020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именуемый в дальнейшем «Продавец», с одной стороны, и</w:t>
            </w:r>
            <w:proofErr w:type="gramEnd"/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именуемый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 w:rsidR="008060D0" w:rsidTr="00686254">
        <w:trPr>
          <w:trHeight w:hRule="exact" w:val="93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1.1.  В соответствии с Протоколом №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от</w:t>
            </w:r>
            <w:proofErr w:type="gram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продаже имущества, размещенным на торговой площадке  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«</w:t>
            </w:r>
            <w:proofErr w:type="spellStart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АРБитЛот</w:t>
            </w:r>
            <w:proofErr w:type="spell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53083A" w:rsidRPr="005462D8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https:/torgi.arbbitlot.ru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ЛОТ№______________________________________________________________________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Право собственности зарегистрировано в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установленном законом порядке (далее по тексту - «Имущество»).</w:t>
            </w:r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1.2. На момент составления Договора купли-продажи на вышеуказанном имуществе обременения/ограничения отсутствуют.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Обязанности Сторон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Продавец обязуется: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2.1.1. Передать Покупателю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имущество по акту приема-передачи.</w:t>
            </w:r>
          </w:p>
        </w:tc>
      </w:tr>
      <w:tr w:rsidR="008060D0" w:rsidTr="00686254">
        <w:trPr>
          <w:trHeight w:hRule="exact" w:val="70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ления на расчетный счет Продавца денежных сре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оответствии с настоящим договором.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 Покупатель обязан: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2.2.1.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Оплатить полную стоимость имущества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в соответствии с настоящим договором.</w:t>
            </w:r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2.2.2. В течение 30 (тридцати) рабочих дней со дня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Цена и порядок расчетов</w:t>
            </w:r>
          </w:p>
        </w:tc>
      </w:tr>
      <w:tr w:rsidR="008060D0" w:rsidTr="00686254">
        <w:trPr>
          <w:trHeight w:hRule="exact" w:val="488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3.1. Стоимость имущества составляет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__________________________ 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(_________________________) </w:t>
            </w:r>
            <w:proofErr w:type="gram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без учета НДС (подпункт 15 п.2 ст.146 НК)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8060D0" w:rsidTr="00686254">
        <w:trPr>
          <w:trHeight w:hRule="exact" w:val="1486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53083A" w:rsidRDefault="007B14F9" w:rsidP="0053083A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Задаток, опла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ченный Покупателем, составляет</w:t>
            </w:r>
            <w:proofErr w:type="gramStart"/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__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), 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итоговая сумма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оплаты Покупателем составляет 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). </w:t>
            </w:r>
          </w:p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Цена настоящего договора установлена по результатам проведения торгов, которые проводились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г. на сайт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е https://</w:t>
            </w:r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torgi.arbbitlot.ru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/, и указана в Протоколе  от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г. является окончательной и изменению не подлежит.</w:t>
            </w:r>
          </w:p>
        </w:tc>
      </w:tr>
      <w:tr w:rsidR="008060D0" w:rsidTr="00686254">
        <w:trPr>
          <w:trHeight w:hRule="exact" w:val="50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3.2. Расходы по переходу права собственности и иные, не указанные в настоящем договоре возможные расходы, необходимые для исполнения договорных обязател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ьств, несет Покупатель.</w:t>
            </w:r>
          </w:p>
        </w:tc>
      </w:tr>
      <w:tr w:rsidR="008060D0" w:rsidTr="007B14F9">
        <w:trPr>
          <w:trHeight w:hRule="exact" w:val="147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686254" w:rsidRDefault="007B14F9" w:rsidP="00686254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3.3. Оплата стоимости имущества по настоящему договору осуществляется Покупателем безналичным платежом на расчетный счет: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 w:rsidR="00686254" w:rsidRDefault="00686254" w:rsidP="00686254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</w:t>
            </w:r>
            <w:r w:rsidRPr="002A002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учатель – </w:t>
            </w:r>
            <w:proofErr w:type="spellStart"/>
            <w:r w:rsidRPr="004A6540">
              <w:rPr>
                <w:sz w:val="20"/>
                <w:szCs w:val="20"/>
              </w:rPr>
              <w:t>Шанберов</w:t>
            </w:r>
            <w:proofErr w:type="spellEnd"/>
            <w:r w:rsidRPr="004A6540">
              <w:rPr>
                <w:sz w:val="20"/>
                <w:szCs w:val="20"/>
              </w:rPr>
              <w:t xml:space="preserve"> Александр Анатольевич</w:t>
            </w:r>
            <w:r>
              <w:rPr>
                <w:sz w:val="20"/>
                <w:szCs w:val="20"/>
              </w:rPr>
              <w:t xml:space="preserve">, </w:t>
            </w:r>
          </w:p>
          <w:p w:rsidR="008060D0" w:rsidRDefault="00686254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Счет № </w:t>
            </w:r>
            <w:r w:rsidRPr="00CF7A35">
              <w:rPr>
                <w:rFonts w:ascii="Times New Roman" w:eastAsia="Times New Roman" w:hAnsi="Times New Roman" w:cs="Times New Roman"/>
                <w:lang w:eastAsia="ru-RU"/>
              </w:rPr>
              <w:t>40817810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212004372776</w:t>
            </w:r>
            <w:r w:rsidRPr="0037221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Вологодское отделение №8638 ПАО Сбербанк,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/с 30101810900000000644, БИК 041909644, ИНН 7707083893, КПП 352502001</w:t>
            </w:r>
          </w:p>
        </w:tc>
      </w:tr>
      <w:tr w:rsidR="008060D0" w:rsidTr="00686254">
        <w:trPr>
          <w:trHeight w:hRule="exact" w:val="806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в течение тридцати дней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настоящего договора.</w:t>
            </w:r>
          </w:p>
          <w:p w:rsidR="008060D0" w:rsidRDefault="001049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дкп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от ... г. по имуществу ...»</w:t>
            </w:r>
          </w:p>
        </w:tc>
      </w:tr>
      <w:tr w:rsidR="008060D0" w:rsidTr="00686254">
        <w:trPr>
          <w:trHeight w:hRule="exact" w:val="70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Моментом надлежащей оплаты по настоящему договору считать момент перечисления банком Покупателя либо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8060D0" w:rsidTr="00686254">
        <w:trPr>
          <w:trHeight w:hRule="exact" w:val="89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 Продавец в течение 30 (тридцати) рабочих дней со дня исп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моментом передачи имущества Покупателю.</w:t>
            </w:r>
          </w:p>
        </w:tc>
      </w:tr>
      <w:tr w:rsidR="008060D0" w:rsidTr="00686254">
        <w:trPr>
          <w:trHeight w:hRule="exact" w:val="66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осуществляются Продавцом своими силами и за свой счет.</w:t>
            </w:r>
          </w:p>
        </w:tc>
      </w:tr>
      <w:tr w:rsidR="008060D0" w:rsidTr="00686254">
        <w:trPr>
          <w:trHeight w:hRule="exact" w:val="76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т риск случайной гибели или случайного повреждения имущества, переданного Покупателю.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5.1. Право собственности на имущество переходит от Продавца к Покупателю в момент государственной регистрации права собственности.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Ответственность Сторон</w:t>
            </w:r>
          </w:p>
        </w:tc>
      </w:tr>
      <w:tr w:rsidR="008060D0" w:rsidTr="00686254">
        <w:trPr>
          <w:trHeight w:hRule="exact" w:val="48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упомянутое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при наличии вины (умысла или неосторожности).</w:t>
            </w:r>
          </w:p>
        </w:tc>
      </w:tr>
      <w:tr w:rsidR="008060D0" w:rsidTr="00686254">
        <w:trPr>
          <w:trHeight w:hRule="exact" w:val="50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6.2. Отсутствие вины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8060D0" w:rsidTr="00686254">
        <w:trPr>
          <w:trHeight w:hRule="exact" w:val="241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6.3. Сторона, не исполнившая или ненадлежащим образом исполнившая свои обязательства по договору при выполнении его условий, несет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и конкретных условиях конкретного периода времени. К обстоятель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преодолимая сила для надлежащего исполнения обязательств.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7. Порядок разрешения споров</w:t>
            </w:r>
          </w:p>
        </w:tc>
      </w:tr>
      <w:tr w:rsidR="008060D0" w:rsidTr="00686254">
        <w:trPr>
          <w:trHeight w:hRule="exact" w:val="51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8. Условия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изменения и расторжения договора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8060D0" w:rsidTr="00686254">
        <w:trPr>
          <w:trHeight w:hRule="exact" w:val="71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8.2. Если покупатель в нарушение договора купли-продажи отказывается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принять и оплатить товар, продавец вправе по своему выбору потребовать оплаты товара либо отказаться от исполнения договора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. 4 ст. 486 Гражданского Кодекса Российской Федерации).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</w:p>
        </w:tc>
      </w:tr>
      <w:tr w:rsidR="008060D0" w:rsidTr="00686254">
        <w:trPr>
          <w:trHeight w:hRule="exact" w:val="94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8.3. Право на односторонний отказ от договора (исполнения договора)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уведомления, если иное не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</w:p>
        </w:tc>
      </w:tr>
      <w:tr w:rsidR="008060D0" w:rsidTr="00686254">
        <w:trPr>
          <w:trHeight w:hRule="exact" w:val="89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. 1, 2 Статья 450.1.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Гражданского Кодекса Российской Федерации).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proofErr w:type="gramEnd"/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9. Заключительные положения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9.2. Сторонами договора рассмотрены все документы, подготовленные в связи с продажей имущества.</w:t>
            </w: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9.3. Настоящий Договор составлен в 2-х экземплярах, имеющих одинаковую юридическую силу.</w:t>
            </w:r>
          </w:p>
        </w:tc>
      </w:tr>
      <w:tr w:rsidR="008060D0" w:rsidTr="00686254">
        <w:trPr>
          <w:trHeight w:hRule="exact" w:val="119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9.4.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По всем вопросам, не нашедшим решения в условиях настоящего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договора, но прямо или косвенно вытекающим из отношений Сторон по нему,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трагивающих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а будут руководствоваться нормами и положениями действующего законодательства Российской Федерации.</w:t>
            </w:r>
            <w:proofErr w:type="gramEnd"/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 w:rsidR="008060D0" w:rsidTr="00686254">
        <w:trPr>
          <w:trHeight w:hRule="exact" w:val="273"/>
        </w:trPr>
        <w:tc>
          <w:tcPr>
            <w:tcW w:w="4522" w:type="dxa"/>
            <w:gridSpan w:val="6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111" w:type="dxa"/>
            <w:gridSpan w:val="5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 w:rsidR="008060D0" w:rsidTr="00686254">
        <w:trPr>
          <w:trHeight w:hRule="exact" w:val="1345"/>
        </w:trPr>
        <w:tc>
          <w:tcPr>
            <w:tcW w:w="4182" w:type="dxa"/>
            <w:gridSpan w:val="5"/>
            <w:shd w:val="clear" w:color="FFFFFF" w:fill="auto"/>
            <w:vAlign w:val="bottom"/>
          </w:tcPr>
          <w:p w:rsidR="00686254" w:rsidRP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Шанберов</w:t>
            </w:r>
            <w:proofErr w:type="spellEnd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Анатольевич</w:t>
            </w:r>
          </w:p>
          <w:p w:rsidR="00686254" w:rsidRP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Счет № 40817810212004372776 </w:t>
            </w:r>
          </w:p>
          <w:p w:rsid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Вологодское отделение №8638 </w:t>
            </w:r>
          </w:p>
          <w:p w:rsid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ПАО Сбербанк,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gramEnd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/с 30101810900000000644, БИК 041909644, ИНН 7707083893, </w:t>
            </w:r>
          </w:p>
          <w:p w:rsidR="008060D0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КПП 352502001</w:t>
            </w:r>
          </w:p>
        </w:tc>
        <w:tc>
          <w:tcPr>
            <w:tcW w:w="34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1" w:type="dxa"/>
            <w:gridSpan w:val="5"/>
            <w:shd w:val="clear" w:color="FFFFFF" w:fill="auto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49F2" w:rsidTr="00686254">
        <w:trPr>
          <w:trHeight w:hRule="exact" w:val="287"/>
        </w:trPr>
        <w:tc>
          <w:tcPr>
            <w:tcW w:w="4522" w:type="dxa"/>
            <w:gridSpan w:val="6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6254" w:rsidTr="00686254">
        <w:trPr>
          <w:trHeight w:hRule="exact" w:val="287"/>
        </w:trPr>
        <w:tc>
          <w:tcPr>
            <w:tcW w:w="37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000000" w:rsidRDefault="007B14F9">
      <w:bookmarkStart w:id="0" w:name="_GoBack"/>
      <w:bookmarkEnd w:id="0"/>
    </w:p>
    <w:sectPr w:rsidR="00000000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D0"/>
    <w:rsid w:val="001049F2"/>
    <w:rsid w:val="004E7676"/>
    <w:rsid w:val="0053083A"/>
    <w:rsid w:val="00686254"/>
    <w:rsid w:val="007B14F9"/>
    <w:rsid w:val="0080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2025-09-16T09:21:00Z</dcterms:created>
  <dcterms:modified xsi:type="dcterms:W3CDTF">2025-09-16T09:31:00Z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