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23C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3EF68528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125F35D0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9A01DB7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A0D550" w14:textId="7777777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5B53FA" w:rsidRPr="005B53FA">
        <w:rPr>
          <w:b/>
          <w:color w:val="333333"/>
          <w:szCs w:val="17"/>
        </w:rPr>
        <w:t xml:space="preserve">Якуниной Юлии Борисовны </w:t>
      </w:r>
      <w:r w:rsidR="005B53FA" w:rsidRPr="005B53FA">
        <w:rPr>
          <w:color w:val="333333"/>
          <w:szCs w:val="17"/>
        </w:rPr>
        <w:t>(д.р./м.р.: 15.03.1988 г., гор. Кингисепп Ленинградской обл., СНИЛС 113-224-610 96, ИНН 470706096050, адрес: Ленинградская обл., г. Сланцы, ул. Шахтерской славы, д. 9Б, кв. 106)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877495" w:rsidRPr="00877495">
        <w:t xml:space="preserve">Решения Арбитражного суда </w:t>
      </w:r>
      <w:r w:rsidR="005B53FA" w:rsidRPr="005B53FA">
        <w:t>города Санкт-Петербурга и Ленинградской области от 06.03.2024 г. по делу № А56-4482/2024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3B24441E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7955F5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1B8686C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A8ADC2A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5B53FA" w:rsidRPr="005B53FA">
        <w:rPr>
          <w:b/>
          <w:color w:val="333333"/>
          <w:szCs w:val="17"/>
        </w:rPr>
        <w:t>Якуниной Юлии Борисовны</w:t>
      </w:r>
      <w:r w:rsidR="00292A88" w:rsidRPr="00263849">
        <w:rPr>
          <w:rStyle w:val="paragraph"/>
          <w:b/>
          <w:bCs/>
        </w:rPr>
        <w:t>.</w:t>
      </w:r>
    </w:p>
    <w:p w14:paraId="4C2D0482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7612D37A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4B47F0DF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21F0771A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9"/>
        <w:gridCol w:w="2092"/>
      </w:tblGrid>
      <w:tr w:rsidR="008E7FF0" w14:paraId="53C0A7BE" w14:textId="77777777" w:rsidTr="0019147A">
        <w:tc>
          <w:tcPr>
            <w:tcW w:w="668" w:type="dxa"/>
            <w:vAlign w:val="center"/>
          </w:tcPr>
          <w:p w14:paraId="2115DCF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5ECBA6C2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5C939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C88C975" w14:textId="77777777" w:rsidTr="0019147A">
        <w:tc>
          <w:tcPr>
            <w:tcW w:w="668" w:type="dxa"/>
            <w:vAlign w:val="center"/>
          </w:tcPr>
          <w:p w14:paraId="20F01205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34F0162B" w14:textId="77777777" w:rsidR="00263125" w:rsidRPr="00263125" w:rsidRDefault="00CB7680" w:rsidP="00877495">
            <w:r w:rsidRPr="00BE467C">
              <w:t>11/150 доля в Жилое помещение, кадастровый номер 47:28:0301032:1008, общей площадью – 117,7 кв. м, местоположение: 188560, Ленинградская область, г. Сланцы, ул. Шахтерской Славы, д. 9б, кв. 106. Кадастровая стоимость имущества: 231 750,75.</w:t>
            </w:r>
          </w:p>
          <w:p w14:paraId="798F4CFB" w14:textId="77777777" w:rsidR="008E7FF0" w:rsidRDefault="002A56C2" w:rsidP="005B53FA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CB7680">
              <w:rPr>
                <w:b/>
                <w:bCs/>
              </w:rPr>
              <w:t>230 000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09891F77" w14:textId="77777777" w:rsidR="008E7FF0" w:rsidRPr="00EC64A3" w:rsidRDefault="00CB7680" w:rsidP="005B53F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56A5744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246BB645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533C380D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83F3366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3BA3A061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0F4C784A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03AF7A90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7DFDAB51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7A24DCC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788F38E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9865BFF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283FF1C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3CDE94DD" w14:textId="77777777" w:rsidR="000A0006" w:rsidRPr="0041109C" w:rsidRDefault="000A0006" w:rsidP="00877D4A">
      <w:pPr>
        <w:suppressAutoHyphens/>
        <w:jc w:val="both"/>
      </w:pPr>
    </w:p>
    <w:p w14:paraId="4201A4E6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41FD163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63B0A7E4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0B25C95F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43AAF86F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110999A3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857B77D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82715DF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2E7ECF39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51E094EC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2FBE0C0F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28E16BA0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AEA9A3C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52BEA14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40BFEBE4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1DC94F84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EFC2B95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B20C88C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3BA7F65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54B62C0B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BC480A1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878A23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6CB3F0D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D17866D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5E3EA392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24160DA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62080493" w14:textId="77777777" w:rsidTr="000A0006">
        <w:trPr>
          <w:trHeight w:val="2076"/>
        </w:trPr>
        <w:tc>
          <w:tcPr>
            <w:tcW w:w="5104" w:type="dxa"/>
          </w:tcPr>
          <w:p w14:paraId="0A8D08F9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5F9DF838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486C49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877495" w:rsidRPr="00877495">
              <w:rPr>
                <w:sz w:val="22"/>
                <w:szCs w:val="22"/>
              </w:rPr>
              <w:t xml:space="preserve">Решения Арбитражного суда </w:t>
            </w:r>
            <w:r w:rsidR="005B53FA" w:rsidRPr="005B53FA">
              <w:rPr>
                <w:sz w:val="22"/>
                <w:szCs w:val="22"/>
              </w:rPr>
              <w:t>города Санкт-Петербурга и Ленинградской области от 06.03.2024 г. по делу № А56-4482/2024</w:t>
            </w:r>
          </w:p>
          <w:p w14:paraId="576F1498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B75F08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56990E5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48C7C1EC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32675BEB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423E106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56AA539" w14:textId="77777777" w:rsidTr="00D523C9">
        <w:trPr>
          <w:trHeight w:val="965"/>
        </w:trPr>
        <w:tc>
          <w:tcPr>
            <w:tcW w:w="5104" w:type="dxa"/>
          </w:tcPr>
          <w:p w14:paraId="68A46E5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729F1E0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F30D1E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EF249BD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03AD00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810D4E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8C59916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F8EA6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4E9D11D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AC23A9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84EE31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77515A90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91977269">
    <w:abstractNumId w:val="7"/>
  </w:num>
  <w:num w:numId="2" w16cid:durableId="500243074">
    <w:abstractNumId w:val="11"/>
  </w:num>
  <w:num w:numId="3" w16cid:durableId="623196978">
    <w:abstractNumId w:val="3"/>
  </w:num>
  <w:num w:numId="4" w16cid:durableId="878589921">
    <w:abstractNumId w:val="5"/>
  </w:num>
  <w:num w:numId="5" w16cid:durableId="2030570512">
    <w:abstractNumId w:val="8"/>
  </w:num>
  <w:num w:numId="6" w16cid:durableId="1754623772">
    <w:abstractNumId w:val="12"/>
  </w:num>
  <w:num w:numId="7" w16cid:durableId="1577010967">
    <w:abstractNumId w:val="4"/>
  </w:num>
  <w:num w:numId="8" w16cid:durableId="2110926297">
    <w:abstractNumId w:val="9"/>
  </w:num>
  <w:num w:numId="9" w16cid:durableId="638191620">
    <w:abstractNumId w:val="6"/>
  </w:num>
  <w:num w:numId="10" w16cid:durableId="926960892">
    <w:abstractNumId w:val="2"/>
  </w:num>
  <w:num w:numId="11" w16cid:durableId="583416123">
    <w:abstractNumId w:val="0"/>
  </w:num>
  <w:num w:numId="12" w16cid:durableId="1408914921">
    <w:abstractNumId w:val="1"/>
  </w:num>
  <w:num w:numId="13" w16cid:durableId="521211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B7680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614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5419D"/>
  <w15:chartTrackingRefBased/>
  <w15:docId w15:val="{46845119-8C81-4E9B-AFC9-3EE0975A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2E10-43F3-460E-99EF-D6C3DF4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2025-10-22T12:44:00Z</dcterms:created>
  <dcterms:modified xsi:type="dcterms:W3CDTF">2025-10-22T12:44:00Z</dcterms:modified>
</cp:coreProperties>
</file>