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0D12E" w14:textId="77777777" w:rsidR="004B50A0" w:rsidRDefault="004B50A0">
      <w:pPr>
        <w:keepNext/>
        <w:jc w:val="both"/>
        <w:rPr>
          <w:sz w:val="24"/>
          <w:szCs w:val="24"/>
        </w:rPr>
      </w:pPr>
    </w:p>
    <w:p w14:paraId="27F5A64F" w14:textId="77777777"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14:paraId="15F9DAF3" w14:textId="77777777"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2D51633C" w14:textId="77777777"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 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14:paraId="2658CF2A" w14:textId="77777777"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14:paraId="381033FB" w14:textId="77777777"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14:paraId="60A70716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14:paraId="02C7CE35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463E7A5B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5E8CA41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14:paraId="2EA3FE40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14:paraId="645DA08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76E485F4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14:paraId="37F3C7D8" w14:textId="77777777"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</w:t>
      </w:r>
      <w:proofErr w:type="gramStart"/>
      <w:r>
        <w:rPr>
          <w:color w:val="000000"/>
          <w:sz w:val="21"/>
          <w:szCs w:val="21"/>
        </w:rPr>
        <w:t>в 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торгах,</w:t>
      </w:r>
    </w:p>
    <w:p w14:paraId="1E467A05" w14:textId="77777777"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14:paraId="10C3CF6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</w:t>
      </w:r>
      <w:proofErr w:type="gramStart"/>
      <w:r>
        <w:rPr>
          <w:color w:val="000000"/>
          <w:sz w:val="21"/>
          <w:szCs w:val="21"/>
        </w:rPr>
        <w:t>40702810412020574079 ,</w:t>
      </w:r>
      <w:proofErr w:type="gramEnd"/>
      <w:r>
        <w:rPr>
          <w:color w:val="000000"/>
          <w:sz w:val="21"/>
          <w:szCs w:val="21"/>
        </w:rPr>
        <w:t xml:space="preserve">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г.Казани,БИК044525360.</w:t>
      </w:r>
    </w:p>
    <w:p w14:paraId="42F8AE76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14:paraId="5949AB00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A31F96F" w14:textId="77777777"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14:paraId="6A3B20BE" w14:textId="77777777"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14:paraId="7963F7F4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14:paraId="0B2C512B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2.6. Сумма Задатка не возвращается Заявителю в следующих случаях:</w:t>
      </w:r>
    </w:p>
    <w:p w14:paraId="3E32861C" w14:textId="77777777"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14:paraId="334FAF72" w14:textId="77777777"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14:paraId="130A8900" w14:textId="77777777"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16367DA6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14:paraId="437F0912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14:paraId="7B8BC11E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3B7C83F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32DFCCD6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14:paraId="4EC1FE5D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14:paraId="034820B6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</w:t>
      </w:r>
      <w:proofErr w:type="gramStart"/>
      <w:r>
        <w:rPr>
          <w:color w:val="000000"/>
          <w:sz w:val="21"/>
          <w:szCs w:val="21"/>
        </w:rPr>
        <w:t>о торгах</w:t>
      </w:r>
      <w:proofErr w:type="gramEnd"/>
      <w:r>
        <w:rPr>
          <w:color w:val="000000"/>
          <w:sz w:val="21"/>
          <w:szCs w:val="21"/>
        </w:rPr>
        <w:t xml:space="preserve"> опубликованном в соответствии с требованиями Федерального закона от 26.10.2002г. № 127-ФЗ "О несостоятельности (банкротстве)".</w:t>
      </w:r>
    </w:p>
    <w:p w14:paraId="011BA151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14:paraId="1C084093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03A20EF5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14:paraId="7B247F3D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14:paraId="4232527D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>
        <w:rPr>
          <w:color w:val="000000"/>
          <w:sz w:val="21"/>
          <w:szCs w:val="21"/>
        </w:rPr>
        <w:t>e-mail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1F93694B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753B1A97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7780378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 w14:paraId="5821E461" w14:textId="77777777">
        <w:trPr>
          <w:trHeight w:hRule="exact" w:val="6805"/>
        </w:trPr>
        <w:tc>
          <w:tcPr>
            <w:tcW w:w="5288" w:type="dxa"/>
          </w:tcPr>
          <w:p w14:paraId="522A1318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14:paraId="332B6D57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14:paraId="240E727B" w14:textId="77777777"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14:paraId="594AA449" w14:textId="77777777"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1F8D68ED" w14:textId="77777777"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0EFF0EDD" w14:textId="77777777"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14:paraId="69E9E1B1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4C841FFD" w14:textId="77777777"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03CBFAD7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4362B9FC" w14:textId="77777777"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14:paraId="3D85D502" w14:textId="77777777"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proofErr w:type="gramStart"/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proofErr w:type="gramEnd"/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52498D1C" w14:textId="77777777"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6AB74DC6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152FA6A2" w14:textId="77777777"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14:paraId="6018586F" w14:textId="77777777"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21059462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6E1A4951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017BA0D7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7ED607AE" w14:textId="77777777"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14:paraId="73F1AB86" w14:textId="77777777"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14:paraId="194E2F17" w14:textId="77777777"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14:paraId="67713F20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14:paraId="7E8F8A2F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14:paraId="63B52BED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14:paraId="386310DE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14:paraId="4B8AF275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14:paraId="2C845C3B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14:paraId="6CD30239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14:paraId="760926C9" w14:textId="77777777"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14:paraId="274344B7" w14:textId="77777777"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5AAFF466" w14:textId="77777777"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2B3FD7AE" w14:textId="77777777"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DF6C" w14:textId="77777777" w:rsidR="003B32C3" w:rsidRDefault="003B32C3">
      <w:r>
        <w:separator/>
      </w:r>
    </w:p>
  </w:endnote>
  <w:endnote w:type="continuationSeparator" w:id="0">
    <w:p w14:paraId="1D8E0BC0" w14:textId="77777777" w:rsidR="003B32C3" w:rsidRDefault="003B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ACE8" w14:textId="77777777" w:rsidR="003B32C3" w:rsidRDefault="003B32C3">
      <w:r>
        <w:separator/>
      </w:r>
    </w:p>
  </w:footnote>
  <w:footnote w:type="continuationSeparator" w:id="0">
    <w:p w14:paraId="4A29A049" w14:textId="77777777" w:rsidR="003B32C3" w:rsidRDefault="003B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BEE0" w14:textId="77777777"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0"/>
    <w:rsid w:val="003B32C3"/>
    <w:rsid w:val="004B50A0"/>
    <w:rsid w:val="009B612B"/>
    <w:rsid w:val="00AD4771"/>
    <w:rsid w:val="00B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949C"/>
  <w15:docId w15:val="{3CA06FF0-CB5C-41F3-A13E-55D73E9E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Мария</cp:lastModifiedBy>
  <cp:revision>2</cp:revision>
  <cp:lastPrinted>2017-03-17T19:23:00Z</cp:lastPrinted>
  <dcterms:created xsi:type="dcterms:W3CDTF">2025-07-11T07:55:00Z</dcterms:created>
  <dcterms:modified xsi:type="dcterms:W3CDTF">2025-07-11T07:55:00Z</dcterms:modified>
  <dc:language>en-US</dc:language>
</cp:coreProperties>
</file>